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A500A">
      <w:pPr>
        <w:keepNext w:val="0"/>
        <w:keepLines w:val="0"/>
        <w:pageBreakBefore w:val="0"/>
        <w:widowControl/>
        <w:kinsoku w:val="0"/>
        <w:wordWrap/>
        <w:overflowPunct/>
        <w:topLinePunct w:val="0"/>
        <w:autoSpaceDE w:val="0"/>
        <w:autoSpaceDN w:val="0"/>
        <w:bidi w:val="0"/>
        <w:adjustRightInd w:val="0"/>
        <w:snapToGrid w:val="0"/>
        <w:spacing w:before="61" w:line="236" w:lineRule="auto"/>
        <w:ind w:left="0"/>
        <w:jc w:val="center"/>
        <w:textAlignment w:val="baseline"/>
        <w:rPr>
          <w:rFonts w:hint="default" w:ascii="方正小标宋_GBK" w:hAnsi="方正小标宋_GBK" w:eastAsia="方正小标宋_GBK" w:cs="方正小标宋_GBK"/>
          <w:sz w:val="43"/>
          <w:szCs w:val="43"/>
          <w:lang w:val="en-US" w:eastAsia="zh-CN"/>
        </w:rPr>
      </w:pPr>
      <w:bookmarkStart w:id="0" w:name="_GoBack"/>
      <w:bookmarkEnd w:id="0"/>
      <w:r>
        <w:rPr>
          <w:rFonts w:hint="eastAsia" w:ascii="方正小标宋_GBK" w:hAnsi="方正小标宋_GBK" w:eastAsia="方正小标宋_GBK" w:cs="方正小标宋_GBK"/>
          <w:spacing w:val="9"/>
          <w:sz w:val="43"/>
          <w:szCs w:val="43"/>
          <w:lang w:eastAsia="zh-CN"/>
        </w:rPr>
        <w:t>江苏电力爬坡辅助服务市场</w:t>
      </w:r>
      <w:r>
        <w:rPr>
          <w:rFonts w:hint="eastAsia" w:ascii="方正小标宋_GBK" w:hAnsi="方正小标宋_GBK" w:eastAsia="方正小标宋_GBK" w:cs="方正小标宋_GBK"/>
          <w:spacing w:val="9"/>
          <w:sz w:val="43"/>
          <w:szCs w:val="43"/>
          <w:lang w:val="en-US" w:eastAsia="zh-CN"/>
        </w:rPr>
        <w:t>实施细则</w:t>
      </w:r>
    </w:p>
    <w:p w14:paraId="6E602891">
      <w:pPr>
        <w:keepNext w:val="0"/>
        <w:keepLines w:val="0"/>
        <w:pageBreakBefore w:val="0"/>
        <w:widowControl/>
        <w:kinsoku w:val="0"/>
        <w:wordWrap/>
        <w:overflowPunct/>
        <w:topLinePunct w:val="0"/>
        <w:autoSpaceDE w:val="0"/>
        <w:autoSpaceDN w:val="0"/>
        <w:bidi w:val="0"/>
        <w:adjustRightInd w:val="0"/>
        <w:snapToGrid w:val="0"/>
        <w:spacing w:before="41" w:line="224" w:lineRule="auto"/>
        <w:ind w:left="0"/>
        <w:jc w:val="center"/>
        <w:textAlignment w:val="baseline"/>
        <w:rPr>
          <w:sz w:val="32"/>
          <w:lang w:eastAsia="zh-CN"/>
        </w:rPr>
      </w:pPr>
      <w:r>
        <w:rPr>
          <w:rFonts w:ascii="楷体_GB2312" w:hAnsi="楷体_GB2312" w:eastAsia="楷体_GB2312" w:cs="楷体_GB2312"/>
          <w:spacing w:val="8"/>
          <w:sz w:val="31"/>
          <w:szCs w:val="31"/>
          <w:lang w:eastAsia="zh-CN"/>
        </w:rPr>
        <w:t>（</w:t>
      </w:r>
      <w:r>
        <w:rPr>
          <w:rFonts w:hint="eastAsia" w:ascii="楷体_GB2312" w:hAnsi="楷体_GB2312" w:eastAsia="楷体_GB2312" w:cs="楷体_GB2312"/>
          <w:spacing w:val="8"/>
          <w:sz w:val="31"/>
          <w:szCs w:val="31"/>
          <w:lang w:eastAsia="zh-CN"/>
        </w:rPr>
        <w:t>征求意见稿</w:t>
      </w:r>
      <w:r>
        <w:rPr>
          <w:rFonts w:ascii="楷体_GB2312" w:hAnsi="楷体_GB2312" w:eastAsia="楷体_GB2312" w:cs="楷体_GB2312"/>
          <w:spacing w:val="8"/>
          <w:sz w:val="31"/>
          <w:szCs w:val="31"/>
          <w:lang w:eastAsia="zh-CN"/>
        </w:rPr>
        <w:t>）</w:t>
      </w:r>
    </w:p>
    <w:p w14:paraId="1E76229B">
      <w:pPr>
        <w:spacing w:line="318" w:lineRule="auto"/>
        <w:rPr>
          <w:sz w:val="32"/>
          <w:lang w:eastAsia="zh-CN"/>
        </w:rPr>
      </w:pPr>
    </w:p>
    <w:p w14:paraId="44E36AED">
      <w:pPr>
        <w:pageBreakBefore w:val="0"/>
        <w:wordWrap/>
        <w:overflowPunct/>
        <w:topLinePunct w:val="0"/>
        <w:bidi w:val="0"/>
        <w:spacing w:line="560" w:lineRule="exact"/>
        <w:jc w:val="center"/>
        <w:outlineLvl w:val="0"/>
        <w:rPr>
          <w:lang w:eastAsia="zh-CN"/>
        </w:rPr>
      </w:pPr>
      <w:r>
        <w:rPr>
          <w:rFonts w:ascii="黑体" w:hAnsi="黑体" w:eastAsia="黑体" w:cs="黑体"/>
          <w:spacing w:val="3"/>
          <w:sz w:val="31"/>
          <w:szCs w:val="31"/>
          <w:lang w:eastAsia="zh-CN"/>
        </w:rPr>
        <w:t>第一章</w:t>
      </w:r>
      <w:r>
        <w:rPr>
          <w:rFonts w:ascii="黑体" w:hAnsi="黑体" w:eastAsia="黑体" w:cs="黑体"/>
          <w:spacing w:val="25"/>
          <w:sz w:val="31"/>
          <w:szCs w:val="31"/>
          <w:lang w:eastAsia="zh-CN"/>
        </w:rPr>
        <w:t xml:space="preserve"> </w:t>
      </w:r>
      <w:r>
        <w:rPr>
          <w:rFonts w:ascii="黑体" w:hAnsi="黑体" w:eastAsia="黑体" w:cs="黑体"/>
          <w:spacing w:val="3"/>
          <w:sz w:val="31"/>
          <w:szCs w:val="31"/>
          <w:lang w:eastAsia="zh-CN"/>
        </w:rPr>
        <w:t>总则</w:t>
      </w:r>
    </w:p>
    <w:p w14:paraId="14715327">
      <w:pPr>
        <w:pStyle w:val="3"/>
        <w:pageBreakBefore w:val="0"/>
        <w:wordWrap/>
        <w:overflowPunct/>
        <w:topLinePunct w:val="0"/>
        <w:bidi w:val="0"/>
        <w:spacing w:line="560" w:lineRule="exact"/>
        <w:ind w:firstLine="640" w:firstLineChars="200"/>
        <w:jc w:val="both"/>
        <w:rPr>
          <w:lang w:eastAsia="zh-CN"/>
        </w:rPr>
      </w:pPr>
      <w:r>
        <w:rPr>
          <w:rFonts w:hint="eastAsia" w:ascii="黑体" w:hAnsi="黑体" w:eastAsia="黑体" w:cs="Times New Roman"/>
          <w:snapToGrid/>
          <w:kern w:val="2"/>
          <w:sz w:val="32"/>
          <w:szCs w:val="32"/>
          <w:lang w:eastAsia="zh-CN"/>
        </w:rPr>
        <w:t>第一条</w:t>
      </w:r>
      <w:r>
        <w:rPr>
          <w:rFonts w:hint="eastAsia" w:ascii="Times New Roman" w:hAnsi="Times New Roman" w:cs="Times New Roman"/>
          <w:snapToGrid/>
          <w:kern w:val="2"/>
          <w:sz w:val="32"/>
          <w:szCs w:val="32"/>
          <w:lang w:eastAsia="zh-CN"/>
        </w:rPr>
        <w:t xml:space="preserve"> 为深入贯彻落实党中央、国务院决策部署，完整准确全面贯彻新发展理念，加快</w:t>
      </w:r>
      <w:r>
        <w:rPr>
          <w:rFonts w:ascii="Times New Roman" w:hAnsi="Times New Roman" w:cs="Times New Roman"/>
          <w:sz w:val="32"/>
          <w:szCs w:val="24"/>
          <w:lang w:eastAsia="zh-CN"/>
        </w:rPr>
        <w:t>构建统一开放、竞争有序、安全高效、治理完善的电力市场体系</w:t>
      </w:r>
      <w:r>
        <w:rPr>
          <w:rFonts w:hint="eastAsia" w:ascii="Times New Roman" w:hAnsi="Times New Roman" w:cs="Times New Roman"/>
          <w:sz w:val="32"/>
          <w:szCs w:val="24"/>
          <w:lang w:eastAsia="zh-CN"/>
        </w:rPr>
        <w:t>，</w:t>
      </w:r>
      <w:r>
        <w:rPr>
          <w:rFonts w:hint="eastAsia" w:ascii="Times New Roman" w:hAnsi="Times New Roman" w:cs="Times New Roman"/>
          <w:snapToGrid/>
          <w:kern w:val="2"/>
          <w:sz w:val="32"/>
          <w:szCs w:val="32"/>
          <w:lang w:eastAsia="zh-CN"/>
        </w:rPr>
        <w:t>适应新型电力系统发展，保障系统安全、经济、</w:t>
      </w:r>
      <w:r>
        <w:rPr>
          <w:rFonts w:ascii="Times New Roman" w:hAnsi="Times New Roman" w:cs="Times New Roman"/>
          <w:snapToGrid/>
          <w:kern w:val="2"/>
          <w:sz w:val="32"/>
          <w:szCs w:val="32"/>
          <w:lang w:eastAsia="zh-CN"/>
        </w:rPr>
        <w:t>高效</w:t>
      </w:r>
      <w:r>
        <w:rPr>
          <w:rFonts w:hint="eastAsia" w:ascii="Times New Roman" w:hAnsi="Times New Roman" w:cs="Times New Roman"/>
          <w:snapToGrid/>
          <w:kern w:val="2"/>
          <w:sz w:val="32"/>
          <w:szCs w:val="32"/>
          <w:lang w:eastAsia="zh-CN"/>
        </w:rPr>
        <w:t>运行</w:t>
      </w:r>
      <w:r>
        <w:rPr>
          <w:rFonts w:hint="eastAsia" w:ascii="Times New Roman" w:hAnsi="Times New Roman" w:cs="Times New Roman"/>
          <w:sz w:val="32"/>
          <w:szCs w:val="24"/>
          <w:lang w:eastAsia="zh-CN"/>
        </w:rPr>
        <w:t>，结合</w:t>
      </w:r>
      <w:r>
        <w:rPr>
          <w:rFonts w:ascii="Times New Roman" w:hAnsi="Times New Roman" w:cs="Times New Roman"/>
          <w:sz w:val="32"/>
          <w:szCs w:val="24"/>
          <w:lang w:eastAsia="zh-CN"/>
        </w:rPr>
        <w:t>江苏实际</w:t>
      </w:r>
      <w:r>
        <w:rPr>
          <w:rFonts w:hint="eastAsia" w:ascii="Times New Roman" w:hAnsi="Times New Roman" w:cs="Times New Roman"/>
          <w:snapToGrid/>
          <w:kern w:val="2"/>
          <w:sz w:val="32"/>
          <w:szCs w:val="32"/>
          <w:lang w:eastAsia="zh-CN"/>
        </w:rPr>
        <w:t>制定本</w:t>
      </w:r>
      <w:r>
        <w:rPr>
          <w:rFonts w:hint="eastAsia" w:ascii="Times New Roman" w:hAnsi="Times New Roman" w:cs="Times New Roman"/>
          <w:snapToGrid/>
          <w:kern w:val="2"/>
          <w:sz w:val="32"/>
          <w:szCs w:val="32"/>
          <w:lang w:val="en-US" w:eastAsia="zh-CN"/>
        </w:rPr>
        <w:t>细则</w:t>
      </w:r>
      <w:r>
        <w:rPr>
          <w:rFonts w:hint="eastAsia" w:ascii="Times New Roman" w:hAnsi="Times New Roman" w:cs="Times New Roman"/>
          <w:snapToGrid/>
          <w:kern w:val="2"/>
          <w:sz w:val="32"/>
          <w:szCs w:val="32"/>
          <w:lang w:eastAsia="zh-CN"/>
        </w:rPr>
        <w:t>。</w:t>
      </w:r>
    </w:p>
    <w:p w14:paraId="3D578E4A">
      <w:pPr>
        <w:pageBreakBefore w:val="0"/>
        <w:wordWrap/>
        <w:overflowPunct/>
        <w:topLinePunct w:val="0"/>
        <w:bidi w:val="0"/>
        <w:spacing w:line="560" w:lineRule="exact"/>
        <w:ind w:firstLine="640" w:firstLineChars="200"/>
        <w:jc w:val="both"/>
        <w:rPr>
          <w:rFonts w:ascii="Times New Roman" w:hAnsi="Times New Roman" w:eastAsia="仿宋_GB2312" w:cs="Times New Roman"/>
          <w:snapToGrid/>
          <w:kern w:val="2"/>
          <w:sz w:val="32"/>
          <w:szCs w:val="32"/>
          <w:lang w:eastAsia="zh-CN"/>
        </w:rPr>
      </w:pPr>
      <w:r>
        <w:rPr>
          <w:rFonts w:ascii="黑体" w:hAnsi="黑体" w:eastAsia="黑体" w:cs="Times New Roman"/>
          <w:snapToGrid/>
          <w:kern w:val="2"/>
          <w:sz w:val="32"/>
          <w:szCs w:val="32"/>
          <w:lang w:eastAsia="zh-CN"/>
        </w:rPr>
        <w:t xml:space="preserve">第二条 </w:t>
      </w:r>
      <w:r>
        <w:rPr>
          <w:rFonts w:eastAsia="仿宋_GB2312"/>
          <w:sz w:val="32"/>
          <w:szCs w:val="32"/>
          <w:lang w:eastAsia="zh-CN"/>
        </w:rPr>
        <w:t>本</w:t>
      </w:r>
      <w:r>
        <w:rPr>
          <w:rFonts w:hint="eastAsia" w:eastAsia="仿宋_GB2312"/>
          <w:sz w:val="32"/>
          <w:szCs w:val="32"/>
          <w:lang w:val="en-US" w:eastAsia="zh-CN"/>
        </w:rPr>
        <w:t>细则</w:t>
      </w:r>
      <w:r>
        <w:rPr>
          <w:rFonts w:eastAsia="仿宋_GB2312"/>
          <w:sz w:val="32"/>
          <w:szCs w:val="32"/>
          <w:lang w:eastAsia="zh-CN"/>
        </w:rPr>
        <w:t>制定依据《中华人民共和国能源法》《中华人民共和国电力法》《电力监管条例》等法律、法规和《中共中央国务院关于进一步深化电力体制改革的若干意见》（中发</w:t>
      </w:r>
      <w:r>
        <w:rPr>
          <w:rFonts w:ascii="Times New Roman" w:hAnsi="Times New Roman" w:eastAsia="仿宋_GB2312" w:cs="Times New Roman"/>
          <w:sz w:val="32"/>
          <w:szCs w:val="32"/>
          <w:lang w:eastAsia="zh-CN"/>
        </w:rPr>
        <w:t>〔2015〕9号）</w:t>
      </w:r>
      <w:r>
        <w:rPr>
          <w:rFonts w:hint="eastAsia" w:ascii="Times New Roman" w:hAnsi="Times New Roman" w:eastAsia="仿宋_GB2312" w:cs="Times New Roman"/>
          <w:sz w:val="32"/>
          <w:szCs w:val="32"/>
          <w:lang w:eastAsia="zh-CN"/>
        </w:rPr>
        <w:t>、《</w:t>
      </w:r>
      <w:r>
        <w:rPr>
          <w:rFonts w:hint="eastAsia" w:eastAsia="仿宋_GB2312"/>
          <w:sz w:val="32"/>
          <w:szCs w:val="32"/>
          <w:lang w:eastAsia="zh-CN"/>
        </w:rPr>
        <w:t>国务院办公厅关于完善全国统一电力市场体系的实施意见</w:t>
      </w:r>
      <w:r>
        <w:rPr>
          <w:rFonts w:hint="eastAsia" w:ascii="Times New Roman" w:hAnsi="Times New Roman" w:eastAsia="仿宋_GB2312" w:cs="Times New Roman"/>
          <w:sz w:val="32"/>
          <w:szCs w:val="32"/>
          <w:lang w:eastAsia="zh-CN"/>
        </w:rPr>
        <w:t>》</w:t>
      </w:r>
      <w:r>
        <w:rPr>
          <w:rFonts w:hint="eastAsia" w:ascii="Times New Roman" w:hAnsi="Times New Roman" w:eastAsia="方正仿宋_GBK" w:cs="Times New Roman"/>
          <w:color w:val="000000"/>
          <w:sz w:val="32"/>
          <w:szCs w:val="32"/>
          <w:lang w:eastAsia="zh-CN"/>
        </w:rPr>
        <w:t>（国办发〔2026〕4号）</w:t>
      </w:r>
      <w:r>
        <w:rPr>
          <w:rFonts w:ascii="Times New Roman" w:hAnsi="Times New Roman" w:eastAsia="仿宋_GB2312" w:cs="Times New Roman"/>
          <w:sz w:val="32"/>
          <w:szCs w:val="32"/>
          <w:lang w:eastAsia="zh-CN"/>
        </w:rPr>
        <w:t>及其相关配套文件、《电力辅助服务管理办法》（国能发监管规〔2021〕61号）、《关于加快建设全国统一电力市场体系的指导意见》（发改体改〔2022〕118号）、《发电机组进入及退出商业运营办法》（国能发监管规〔2023〕48号）、《国家发展改革委国家能源局关于建立健全电力辅助服务市场价格机制的通知》（发改价格〔2024〕196号）、《电力辅助服务市场基本规则》（发改能源规〔2025〕411号）</w:t>
      </w:r>
      <w:r>
        <w:rPr>
          <w:rFonts w:eastAsia="仿宋_GB2312"/>
          <w:sz w:val="32"/>
          <w:szCs w:val="32"/>
          <w:lang w:eastAsia="zh-CN"/>
        </w:rPr>
        <w:t>等文件</w:t>
      </w:r>
      <w:r>
        <w:rPr>
          <w:rFonts w:hint="eastAsia" w:ascii="Times New Roman" w:hAnsi="Times New Roman" w:eastAsia="仿宋_GB2312" w:cs="Times New Roman"/>
          <w:snapToGrid/>
          <w:kern w:val="2"/>
          <w:sz w:val="32"/>
          <w:szCs w:val="32"/>
          <w:lang w:eastAsia="zh-CN"/>
        </w:rPr>
        <w:t>。</w:t>
      </w:r>
    </w:p>
    <w:p w14:paraId="7C038BC0">
      <w:pPr>
        <w:pStyle w:val="3"/>
        <w:pageBreakBefore w:val="0"/>
        <w:wordWrap/>
        <w:overflowPunct/>
        <w:topLinePunct w:val="0"/>
        <w:bidi w:val="0"/>
        <w:spacing w:line="560" w:lineRule="exact"/>
        <w:ind w:firstLine="640" w:firstLineChars="200"/>
        <w:jc w:val="both"/>
        <w:rPr>
          <w:rFonts w:ascii="黑体" w:hAnsi="黑体" w:eastAsia="黑体" w:cs="Times New Roman"/>
          <w:snapToGrid/>
          <w:kern w:val="2"/>
          <w:sz w:val="32"/>
          <w:szCs w:val="32"/>
          <w:lang w:eastAsia="zh-CN"/>
        </w:rPr>
      </w:pPr>
      <w:r>
        <w:rPr>
          <w:rFonts w:ascii="黑体" w:hAnsi="黑体" w:eastAsia="黑体" w:cs="Times New Roman"/>
          <w:snapToGrid/>
          <w:kern w:val="2"/>
          <w:sz w:val="32"/>
          <w:szCs w:val="32"/>
          <w:lang w:eastAsia="zh-CN"/>
        </w:rPr>
        <w:t xml:space="preserve">第三条 </w:t>
      </w:r>
      <w:r>
        <w:rPr>
          <w:rFonts w:hint="eastAsia"/>
          <w:spacing w:val="10"/>
          <w:lang w:eastAsia="zh-CN"/>
        </w:rPr>
        <w:t>本</w:t>
      </w:r>
      <w:r>
        <w:rPr>
          <w:rFonts w:hint="eastAsia"/>
          <w:spacing w:val="10"/>
          <w:lang w:val="en-US" w:eastAsia="zh-CN"/>
        </w:rPr>
        <w:t>细则</w:t>
      </w:r>
      <w:r>
        <w:rPr>
          <w:rFonts w:hint="eastAsia"/>
          <w:spacing w:val="10"/>
          <w:lang w:eastAsia="zh-CN"/>
        </w:rPr>
        <w:t>所称</w:t>
      </w:r>
      <w:r>
        <w:rPr>
          <w:rFonts w:hint="eastAsia" w:ascii="Times New Roman" w:hAnsi="Times New Roman" w:cs="Times New Roman"/>
          <w:snapToGrid/>
          <w:kern w:val="2"/>
          <w:sz w:val="32"/>
          <w:szCs w:val="32"/>
          <w:lang w:eastAsia="zh-CN"/>
        </w:rPr>
        <w:t>爬坡辅助服务是指为应对可再生能源发电波动等不确定因素带来的系统净负荷短时大幅变化，具备较强负荷调节速率的并网主体根据调度指令调整出力，以维持系统功率平衡所提供的服务。</w:t>
      </w:r>
    </w:p>
    <w:p w14:paraId="2E7A29FA">
      <w:pPr>
        <w:pStyle w:val="3"/>
        <w:pageBreakBefore w:val="0"/>
        <w:wordWrap/>
        <w:overflowPunct/>
        <w:topLinePunct w:val="0"/>
        <w:bidi w:val="0"/>
        <w:spacing w:line="560" w:lineRule="exact"/>
        <w:ind w:firstLine="640" w:firstLineChars="200"/>
        <w:jc w:val="both"/>
        <w:rPr>
          <w:rFonts w:hint="eastAsia"/>
          <w:sz w:val="32"/>
          <w:szCs w:val="32"/>
          <w:lang w:eastAsia="zh-CN"/>
        </w:rPr>
      </w:pPr>
      <w:r>
        <w:rPr>
          <w:rFonts w:hint="eastAsia" w:ascii="黑体" w:hAnsi="黑体" w:eastAsia="黑体" w:cs="Times New Roman"/>
          <w:snapToGrid/>
          <w:kern w:val="2"/>
          <w:sz w:val="32"/>
          <w:szCs w:val="32"/>
          <w:lang w:eastAsia="zh-CN"/>
        </w:rPr>
        <w:t>第四条</w:t>
      </w:r>
      <w:r>
        <w:rPr>
          <w:rFonts w:hint="eastAsia" w:ascii="黑体" w:hAnsi="黑体" w:eastAsia="黑体" w:cs="Times New Roman"/>
          <w:snapToGrid/>
          <w:kern w:val="2"/>
          <w:sz w:val="32"/>
          <w:szCs w:val="32"/>
          <w:lang w:val="en-US" w:eastAsia="zh-CN"/>
        </w:rPr>
        <w:t xml:space="preserve"> </w:t>
      </w:r>
      <w:r>
        <w:rPr>
          <w:rFonts w:hint="eastAsia"/>
          <w:sz w:val="32"/>
          <w:szCs w:val="32"/>
          <w:lang w:eastAsia="zh-CN"/>
        </w:rPr>
        <w:t>本细则适用于在江苏开展的电力</w:t>
      </w:r>
      <w:r>
        <w:rPr>
          <w:rFonts w:hint="eastAsia"/>
          <w:sz w:val="32"/>
          <w:szCs w:val="32"/>
          <w:lang w:val="en-US" w:eastAsia="zh-CN"/>
        </w:rPr>
        <w:t>爬坡</w:t>
      </w:r>
      <w:r>
        <w:rPr>
          <w:rFonts w:hint="eastAsia"/>
          <w:sz w:val="32"/>
          <w:szCs w:val="32"/>
          <w:lang w:eastAsia="zh-CN"/>
        </w:rPr>
        <w:t>辅助服务交易。依据本细则开展市场化交易的辅助服务，不再执行《江苏电力辅助服务管理实施细则》</w:t>
      </w:r>
      <w:r>
        <w:rPr>
          <w:rFonts w:hint="eastAsia"/>
          <w:sz w:val="32"/>
          <w:szCs w:val="32"/>
          <w:lang w:val="en-US" w:eastAsia="zh-CN"/>
        </w:rPr>
        <w:t>中爬坡辅助</w:t>
      </w:r>
      <w:r>
        <w:rPr>
          <w:rFonts w:hint="eastAsia"/>
          <w:sz w:val="32"/>
          <w:szCs w:val="32"/>
          <w:lang w:eastAsia="zh-CN"/>
        </w:rPr>
        <w:t>服务补偿。</w:t>
      </w:r>
    </w:p>
    <w:p w14:paraId="3A5D5B63">
      <w:pPr>
        <w:pStyle w:val="3"/>
        <w:pageBreakBefore w:val="0"/>
        <w:wordWrap/>
        <w:overflowPunct/>
        <w:topLinePunct w:val="0"/>
        <w:bidi w:val="0"/>
        <w:spacing w:line="560" w:lineRule="exact"/>
        <w:ind w:firstLine="640" w:firstLineChars="200"/>
        <w:jc w:val="both"/>
        <w:rPr>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val="en-US" w:eastAsia="zh-CN"/>
        </w:rPr>
        <w:t>五</w:t>
      </w:r>
      <w:r>
        <w:rPr>
          <w:rFonts w:ascii="黑体" w:hAnsi="黑体" w:eastAsia="黑体" w:cs="Times New Roman"/>
          <w:snapToGrid/>
          <w:kern w:val="2"/>
          <w:sz w:val="32"/>
          <w:szCs w:val="32"/>
          <w:lang w:eastAsia="zh-CN"/>
        </w:rPr>
        <w:t xml:space="preserve">条 </w:t>
      </w:r>
      <w:r>
        <w:rPr>
          <w:rFonts w:hint="eastAsia"/>
          <w:sz w:val="32"/>
          <w:szCs w:val="32"/>
          <w:lang w:eastAsia="zh-CN"/>
        </w:rPr>
        <w:t>国家能源局江苏监管办公室（以下简称江苏能源监管办）会同省发展改革委负责江苏电力辅助服务市场的监督与管理，负责监管本</w:t>
      </w:r>
      <w:r>
        <w:rPr>
          <w:rFonts w:hint="eastAsia"/>
          <w:sz w:val="32"/>
          <w:szCs w:val="32"/>
          <w:lang w:val="en-US" w:eastAsia="zh-CN"/>
        </w:rPr>
        <w:t>细则</w:t>
      </w:r>
      <w:r>
        <w:rPr>
          <w:rFonts w:hint="eastAsia"/>
          <w:sz w:val="32"/>
          <w:szCs w:val="32"/>
          <w:lang w:eastAsia="zh-CN"/>
        </w:rPr>
        <w:t>的实施。</w:t>
      </w:r>
    </w:p>
    <w:p w14:paraId="48305A85">
      <w:pPr>
        <w:pageBreakBefore w:val="0"/>
        <w:wordWrap/>
        <w:overflowPunct/>
        <w:topLinePunct w:val="0"/>
        <w:bidi w:val="0"/>
        <w:spacing w:before="285" w:line="560" w:lineRule="exact"/>
        <w:ind w:left="3229"/>
        <w:outlineLvl w:val="0"/>
        <w:rPr>
          <w:rFonts w:ascii="黑体" w:hAnsi="黑体" w:eastAsia="黑体" w:cs="黑体"/>
          <w:sz w:val="31"/>
          <w:szCs w:val="31"/>
          <w:lang w:eastAsia="zh-CN"/>
        </w:rPr>
      </w:pPr>
      <w:r>
        <w:rPr>
          <w:rFonts w:ascii="黑体" w:hAnsi="黑体" w:eastAsia="黑体" w:cs="黑体"/>
          <w:spacing w:val="7"/>
          <w:sz w:val="31"/>
          <w:szCs w:val="31"/>
          <w:lang w:eastAsia="zh-CN"/>
        </w:rPr>
        <w:t>第二章 市场成员</w:t>
      </w:r>
    </w:p>
    <w:p w14:paraId="3FDAD85D">
      <w:pPr>
        <w:pStyle w:val="3"/>
        <w:pageBreakBefore w:val="0"/>
        <w:wordWrap/>
        <w:overflowPunct/>
        <w:topLinePunct w:val="0"/>
        <w:bidi w:val="0"/>
        <w:spacing w:line="560" w:lineRule="exact"/>
        <w:ind w:firstLine="640" w:firstLineChars="200"/>
        <w:jc w:val="both"/>
        <w:rPr>
          <w:rFonts w:hint="eastAsia"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val="en-US" w:eastAsia="zh-CN"/>
        </w:rPr>
        <w:t>六</w:t>
      </w:r>
      <w:r>
        <w:rPr>
          <w:rFonts w:ascii="黑体" w:hAnsi="黑体" w:eastAsia="黑体" w:cs="Times New Roman"/>
          <w:snapToGrid/>
          <w:kern w:val="2"/>
          <w:sz w:val="32"/>
          <w:szCs w:val="32"/>
          <w:lang w:eastAsia="zh-CN"/>
        </w:rPr>
        <w:t xml:space="preserve">条 </w:t>
      </w:r>
      <w:r>
        <w:rPr>
          <w:rFonts w:hint="eastAsia" w:ascii="Times New Roman" w:hAnsi="Times New Roman" w:cs="Times New Roman"/>
          <w:snapToGrid/>
          <w:kern w:val="2"/>
          <w:sz w:val="32"/>
          <w:szCs w:val="32"/>
          <w:lang w:eastAsia="zh-CN"/>
        </w:rPr>
        <w:t>爬坡辅助服务市场成员包括经营主体和市场运营机构。市场运营机构包括电力调度机构和电力交易机构。经营主体包括符合准入条件并</w:t>
      </w:r>
      <w:r>
        <w:rPr>
          <w:rFonts w:ascii="Times New Roman" w:hAnsi="Times New Roman" w:cs="Times New Roman"/>
          <w:snapToGrid/>
          <w:kern w:val="2"/>
          <w:sz w:val="32"/>
          <w:szCs w:val="32"/>
          <w:lang w:eastAsia="zh-CN"/>
        </w:rPr>
        <w:t>完成市场注册</w:t>
      </w:r>
      <w:r>
        <w:rPr>
          <w:rFonts w:hint="eastAsia" w:ascii="Times New Roman" w:hAnsi="Times New Roman" w:cs="Times New Roman"/>
          <w:snapToGrid/>
          <w:kern w:val="2"/>
          <w:sz w:val="32"/>
          <w:szCs w:val="32"/>
          <w:lang w:eastAsia="zh-CN"/>
        </w:rPr>
        <w:t>的各类并网发电企业、储能电站、虚拟电厂等辅助服务</w:t>
      </w:r>
      <w:r>
        <w:rPr>
          <w:rFonts w:hint="eastAsia" w:ascii="Times New Roman" w:hAnsi="Times New Roman" w:cs="Times New Roman"/>
          <w:snapToGrid/>
          <w:kern w:val="2"/>
          <w:sz w:val="32"/>
          <w:szCs w:val="32"/>
          <w:lang w:val="en-US" w:eastAsia="zh-CN"/>
        </w:rPr>
        <w:t>供应</w:t>
      </w:r>
      <w:r>
        <w:rPr>
          <w:rFonts w:hint="eastAsia" w:ascii="Times New Roman" w:hAnsi="Times New Roman" w:cs="Times New Roman"/>
          <w:snapToGrid/>
          <w:kern w:val="2"/>
          <w:sz w:val="32"/>
          <w:szCs w:val="32"/>
          <w:lang w:eastAsia="zh-CN"/>
        </w:rPr>
        <w:t>商。</w:t>
      </w:r>
    </w:p>
    <w:p w14:paraId="78564252">
      <w:pPr>
        <w:pStyle w:val="3"/>
        <w:pageBreakBefore w:val="0"/>
        <w:wordWrap/>
        <w:overflowPunct/>
        <w:topLinePunct w:val="0"/>
        <w:bidi w:val="0"/>
        <w:spacing w:line="560" w:lineRule="exact"/>
        <w:ind w:firstLine="640" w:firstLineChars="200"/>
        <w:jc w:val="both"/>
        <w:rPr>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val="en-US" w:eastAsia="zh-CN"/>
        </w:rPr>
        <w:t>七</w:t>
      </w:r>
      <w:r>
        <w:rPr>
          <w:rFonts w:ascii="黑体" w:hAnsi="黑体" w:eastAsia="黑体" w:cs="Times New Roman"/>
          <w:snapToGrid/>
          <w:kern w:val="2"/>
          <w:sz w:val="32"/>
          <w:szCs w:val="32"/>
          <w:lang w:eastAsia="zh-CN"/>
        </w:rPr>
        <w:t>条</w:t>
      </w:r>
      <w:r>
        <w:rPr>
          <w:rFonts w:hint="eastAsia" w:ascii="黑体" w:hAnsi="黑体" w:eastAsia="黑体" w:cs="Times New Roman"/>
          <w:snapToGrid/>
          <w:kern w:val="2"/>
          <w:sz w:val="32"/>
          <w:szCs w:val="32"/>
          <w:lang w:eastAsia="zh-CN"/>
        </w:rPr>
        <w:t xml:space="preserve"> </w:t>
      </w:r>
      <w:r>
        <w:rPr>
          <w:rFonts w:hint="eastAsia" w:ascii="Times New Roman" w:hAnsi="Times New Roman" w:cs="Times New Roman"/>
          <w:snapToGrid/>
          <w:kern w:val="2"/>
          <w:sz w:val="32"/>
          <w:szCs w:val="32"/>
          <w:lang w:eastAsia="zh-CN"/>
        </w:rPr>
        <w:t>爬坡辅助服务供应商包括纳入江苏电网统调范围的发电机组（单机容量100</w:t>
      </w:r>
      <w:r>
        <w:rPr>
          <w:rFonts w:hint="eastAsia" w:ascii="Times New Roman" w:hAnsi="Times New Roman" w:cs="Times New Roman"/>
          <w:snapToGrid/>
          <w:kern w:val="2"/>
          <w:sz w:val="32"/>
          <w:szCs w:val="32"/>
          <w:lang w:val="en-US" w:eastAsia="zh-CN"/>
        </w:rPr>
        <w:t>兆瓦</w:t>
      </w:r>
      <w:r>
        <w:rPr>
          <w:rFonts w:hint="eastAsia" w:ascii="Times New Roman" w:hAnsi="Times New Roman" w:cs="Times New Roman"/>
          <w:snapToGrid/>
          <w:kern w:val="2"/>
          <w:sz w:val="32"/>
          <w:szCs w:val="32"/>
          <w:lang w:eastAsia="zh-CN"/>
        </w:rPr>
        <w:t>及以上的发电机组，暂不包括抽水蓄能电站、核电机组）、新型经营主体（包括独立新型储能电站、虚拟电厂等）。参与爬坡辅助服务的统调公用发电机组、新型经营主体爬坡能力必须达到本</w:t>
      </w:r>
      <w:r>
        <w:rPr>
          <w:rFonts w:hint="eastAsia" w:ascii="Times New Roman" w:hAnsi="Times New Roman" w:cs="Times New Roman"/>
          <w:snapToGrid/>
          <w:kern w:val="2"/>
          <w:sz w:val="32"/>
          <w:szCs w:val="32"/>
          <w:lang w:val="en-US" w:eastAsia="zh-CN"/>
        </w:rPr>
        <w:t>细则</w:t>
      </w:r>
      <w:r>
        <w:rPr>
          <w:rFonts w:hint="eastAsia" w:ascii="Times New Roman" w:hAnsi="Times New Roman" w:cs="Times New Roman"/>
          <w:snapToGrid/>
          <w:kern w:val="2"/>
          <w:sz w:val="32"/>
          <w:szCs w:val="32"/>
          <w:lang w:eastAsia="zh-CN"/>
        </w:rPr>
        <w:t>规定的基准爬坡速率以上，并按并网管理有关规程规定装设AGC装置，同时AGC装置性能指标满足调度运行管理规定相关要求。参与爬坡辅助服务的虚拟电厂需进行市场注册并接入电力调度自动化系统。</w:t>
      </w:r>
    </w:p>
    <w:p w14:paraId="1EC5CC59">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val="en-US" w:eastAsia="zh-CN"/>
        </w:rPr>
        <w:t>八</w:t>
      </w:r>
      <w:r>
        <w:rPr>
          <w:rFonts w:ascii="黑体" w:hAnsi="黑体" w:eastAsia="黑体" w:cs="Times New Roman"/>
          <w:snapToGrid/>
          <w:kern w:val="2"/>
          <w:sz w:val="32"/>
          <w:szCs w:val="32"/>
          <w:lang w:eastAsia="zh-CN"/>
        </w:rPr>
        <w:t xml:space="preserve">条 </w:t>
      </w:r>
      <w:r>
        <w:rPr>
          <w:rFonts w:hint="eastAsia" w:ascii="Times New Roman" w:hAnsi="Times New Roman" w:cs="Times New Roman"/>
          <w:snapToGrid/>
          <w:kern w:val="2"/>
          <w:sz w:val="32"/>
          <w:szCs w:val="32"/>
          <w:lang w:val="en-US" w:eastAsia="zh-CN"/>
        </w:rPr>
        <w:t>经营主体</w:t>
      </w:r>
      <w:r>
        <w:rPr>
          <w:rFonts w:hint="eastAsia" w:ascii="Times New Roman" w:hAnsi="Times New Roman" w:cs="Times New Roman"/>
          <w:snapToGrid/>
          <w:kern w:val="2"/>
          <w:sz w:val="32"/>
          <w:szCs w:val="32"/>
          <w:lang w:eastAsia="zh-CN"/>
        </w:rPr>
        <w:t>的权利和义务：</w:t>
      </w:r>
    </w:p>
    <w:p w14:paraId="13018631">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（一）按</w:t>
      </w:r>
      <w:r>
        <w:rPr>
          <w:rFonts w:hint="eastAsia" w:ascii="Times New Roman" w:hAnsi="Times New Roman" w:cs="Times New Roman"/>
          <w:snapToGrid/>
          <w:kern w:val="2"/>
          <w:sz w:val="32"/>
          <w:szCs w:val="32"/>
          <w:lang w:val="en-US" w:eastAsia="zh-CN"/>
        </w:rPr>
        <w:t>细则</w:t>
      </w:r>
      <w:r>
        <w:rPr>
          <w:rFonts w:hint="eastAsia" w:ascii="Times New Roman" w:hAnsi="Times New Roman" w:cs="Times New Roman"/>
          <w:snapToGrid/>
          <w:kern w:val="2"/>
          <w:sz w:val="32"/>
          <w:szCs w:val="32"/>
          <w:lang w:eastAsia="zh-CN"/>
        </w:rPr>
        <w:t>参与爬坡辅助服务市场交易，根据交易结果提供爬坡</w:t>
      </w:r>
      <w:r>
        <w:rPr>
          <w:rFonts w:hint="eastAsia" w:ascii="Times New Roman" w:hAnsi="Times New Roman" w:cs="Times New Roman"/>
          <w:snapToGrid/>
          <w:kern w:val="2"/>
          <w:sz w:val="32"/>
          <w:szCs w:val="32"/>
          <w:lang w:val="en-US" w:eastAsia="zh-CN"/>
        </w:rPr>
        <w:t>辅助</w:t>
      </w:r>
      <w:r>
        <w:rPr>
          <w:rFonts w:hint="eastAsia" w:ascii="Times New Roman" w:hAnsi="Times New Roman" w:cs="Times New Roman"/>
          <w:snapToGrid/>
          <w:kern w:val="2"/>
          <w:sz w:val="32"/>
          <w:szCs w:val="32"/>
          <w:lang w:eastAsia="zh-CN"/>
        </w:rPr>
        <w:t>服务并获得补偿；</w:t>
      </w:r>
    </w:p>
    <w:p w14:paraId="12923A62">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（二）执行并网调度协议，服从电力调度机构的统一调度；</w:t>
      </w:r>
    </w:p>
    <w:p w14:paraId="6D386511">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（三）具备满足参与爬坡辅助服务市场交易要求的技术支持手段，并按要求通过AGC装置性能测试并按规定提供有关技术参数和信息；</w:t>
      </w:r>
    </w:p>
    <w:p w14:paraId="205B937C">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（四）遵守市场注册管理制度，并按规定披露、提供、获取爬坡辅助服务市场相关信息，并承担保密义务；</w:t>
      </w:r>
    </w:p>
    <w:p w14:paraId="28AC9C51">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（五）加强设备运行与维护，确保能够根据电力调度机构调度指令提供符合规定要求的爬坡服务；</w:t>
      </w:r>
    </w:p>
    <w:p w14:paraId="2BA09A80">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（六）其他法律法规规定的权利和义务。</w:t>
      </w:r>
    </w:p>
    <w:p w14:paraId="3F8AE928">
      <w:pPr>
        <w:pStyle w:val="3"/>
        <w:pageBreakBefore w:val="0"/>
        <w:wordWrap/>
        <w:overflowPunct/>
        <w:topLinePunct w:val="0"/>
        <w:bidi w:val="0"/>
        <w:spacing w:line="560" w:lineRule="exact"/>
        <w:ind w:firstLine="640" w:firstLineChars="200"/>
        <w:jc w:val="both"/>
        <w:rPr>
          <w:rFonts w:hint="default" w:ascii="黑体" w:hAnsi="黑体" w:eastAsia="黑体" w:cs="Times New Roman"/>
          <w:snapToGrid/>
          <w:kern w:val="2"/>
          <w:sz w:val="32"/>
          <w:szCs w:val="32"/>
          <w:lang w:val="en-US"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val="en-US" w:eastAsia="zh-CN"/>
        </w:rPr>
        <w:t>九</w:t>
      </w:r>
      <w:r>
        <w:rPr>
          <w:rFonts w:ascii="黑体" w:hAnsi="黑体" w:eastAsia="黑体" w:cs="Times New Roman"/>
          <w:snapToGrid/>
          <w:kern w:val="2"/>
          <w:sz w:val="32"/>
          <w:szCs w:val="32"/>
          <w:lang w:eastAsia="zh-CN"/>
        </w:rPr>
        <w:t xml:space="preserve">条 </w:t>
      </w:r>
      <w:r>
        <w:rPr>
          <w:rFonts w:hint="eastAsia" w:ascii="Times New Roman" w:hAnsi="Times New Roman" w:cs="Times New Roman"/>
          <w:snapToGrid/>
          <w:kern w:val="2"/>
          <w:sz w:val="32"/>
          <w:szCs w:val="32"/>
          <w:lang w:val="en-US" w:eastAsia="zh-CN"/>
        </w:rPr>
        <w:t>市场运营机构的权利和义务：</w:t>
      </w:r>
    </w:p>
    <w:p w14:paraId="6841435F">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w:t>
      </w:r>
      <w:r>
        <w:rPr>
          <w:rFonts w:hint="eastAsia" w:ascii="Times New Roman" w:hAnsi="Times New Roman" w:cs="Times New Roman"/>
          <w:snapToGrid/>
          <w:kern w:val="2"/>
          <w:sz w:val="32"/>
          <w:szCs w:val="32"/>
          <w:lang w:val="en-US" w:eastAsia="zh-CN"/>
        </w:rPr>
        <w:t>一</w:t>
      </w:r>
      <w:r>
        <w:rPr>
          <w:rFonts w:hint="eastAsia" w:ascii="Times New Roman" w:hAnsi="Times New Roman" w:cs="Times New Roman"/>
          <w:snapToGrid/>
          <w:kern w:val="2"/>
          <w:sz w:val="32"/>
          <w:szCs w:val="32"/>
          <w:lang w:eastAsia="zh-CN"/>
        </w:rPr>
        <w:t>）电力调度机构</w:t>
      </w:r>
    </w:p>
    <w:p w14:paraId="6E3F92DC">
      <w:pPr>
        <w:pStyle w:val="3"/>
        <w:pageBreakBefore w:val="0"/>
        <w:wordWrap/>
        <w:overflowPunct/>
        <w:topLinePunct w:val="0"/>
        <w:bidi w:val="0"/>
        <w:spacing w:line="560" w:lineRule="exact"/>
        <w:ind w:firstLine="640" w:firstLineChars="200"/>
        <w:jc w:val="both"/>
        <w:rPr>
          <w:rFonts w:hint="eastAsia"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1.</w:t>
      </w:r>
      <w:r>
        <w:rPr>
          <w:rFonts w:hint="eastAsia" w:ascii="Times New Roman" w:hAnsi="Times New Roman" w:cs="Times New Roman"/>
          <w:snapToGrid/>
          <w:kern w:val="2"/>
          <w:sz w:val="32"/>
          <w:szCs w:val="32"/>
          <w:lang w:eastAsia="zh-CN"/>
        </w:rPr>
        <w:t>负责爬坡辅助服务市场日常运营管理；</w:t>
      </w:r>
    </w:p>
    <w:p w14:paraId="4BEB0787">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2.</w:t>
      </w:r>
      <w:r>
        <w:rPr>
          <w:rFonts w:hint="eastAsia" w:ascii="Times New Roman" w:hAnsi="Times New Roman" w:cs="Times New Roman"/>
          <w:snapToGrid/>
          <w:kern w:val="2"/>
          <w:sz w:val="32"/>
          <w:szCs w:val="32"/>
          <w:lang w:eastAsia="zh-CN"/>
        </w:rPr>
        <w:t>建设、维护爬坡辅助服务市场技术支持系统；</w:t>
      </w:r>
    </w:p>
    <w:p w14:paraId="2CD56CE2">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3.</w:t>
      </w:r>
      <w:r>
        <w:rPr>
          <w:rFonts w:hint="eastAsia" w:ascii="Times New Roman" w:hAnsi="Times New Roman" w:cs="Times New Roman"/>
          <w:snapToGrid/>
          <w:kern w:val="2"/>
          <w:sz w:val="32"/>
          <w:szCs w:val="32"/>
          <w:lang w:eastAsia="zh-CN"/>
        </w:rPr>
        <w:t>依据</w:t>
      </w:r>
      <w:r>
        <w:rPr>
          <w:rFonts w:hint="eastAsia" w:ascii="Times New Roman" w:hAnsi="Times New Roman" w:cs="Times New Roman"/>
          <w:snapToGrid/>
          <w:kern w:val="2"/>
          <w:sz w:val="32"/>
          <w:szCs w:val="32"/>
          <w:lang w:val="en-US" w:eastAsia="zh-CN"/>
        </w:rPr>
        <w:t>市场细则</w:t>
      </w:r>
      <w:r>
        <w:rPr>
          <w:rFonts w:hint="eastAsia" w:ascii="Times New Roman" w:hAnsi="Times New Roman" w:cs="Times New Roman"/>
          <w:snapToGrid/>
          <w:kern w:val="2"/>
          <w:sz w:val="32"/>
          <w:szCs w:val="32"/>
          <w:lang w:eastAsia="zh-CN"/>
        </w:rPr>
        <w:t>组织交易，按照交易结果进行调用；</w:t>
      </w:r>
    </w:p>
    <w:p w14:paraId="7D1DA406">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4.</w:t>
      </w:r>
      <w:r>
        <w:rPr>
          <w:rFonts w:hint="eastAsia" w:ascii="Times New Roman" w:hAnsi="Times New Roman" w:cs="Times New Roman"/>
          <w:snapToGrid/>
          <w:kern w:val="2"/>
          <w:sz w:val="32"/>
          <w:szCs w:val="32"/>
          <w:lang w:eastAsia="zh-CN"/>
        </w:rPr>
        <w:t>统计爬坡</w:t>
      </w:r>
      <w:r>
        <w:rPr>
          <w:rFonts w:hint="eastAsia" w:ascii="Times New Roman" w:hAnsi="Times New Roman" w:cs="Times New Roman"/>
          <w:snapToGrid/>
          <w:kern w:val="2"/>
          <w:sz w:val="32"/>
          <w:szCs w:val="32"/>
          <w:lang w:val="en-US" w:eastAsia="zh-CN"/>
        </w:rPr>
        <w:t>辅助</w:t>
      </w:r>
      <w:r>
        <w:rPr>
          <w:rFonts w:hint="eastAsia" w:ascii="Times New Roman" w:hAnsi="Times New Roman" w:cs="Times New Roman"/>
          <w:snapToGrid/>
          <w:kern w:val="2"/>
          <w:sz w:val="32"/>
          <w:szCs w:val="32"/>
          <w:lang w:eastAsia="zh-CN"/>
        </w:rPr>
        <w:t>服务调用执行结果，计算补偿费用和交易费用发电侧分摊结果，并向电力交易机构推送相关费用计算结果；</w:t>
      </w:r>
    </w:p>
    <w:p w14:paraId="770CBEBA">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5.</w:t>
      </w:r>
      <w:r>
        <w:rPr>
          <w:rFonts w:hint="eastAsia" w:ascii="Times New Roman" w:hAnsi="Times New Roman" w:cs="Times New Roman"/>
          <w:snapToGrid/>
          <w:kern w:val="2"/>
          <w:sz w:val="32"/>
          <w:szCs w:val="32"/>
          <w:lang w:eastAsia="zh-CN"/>
        </w:rPr>
        <w:t>按规定披露和发布爬坡辅助服务市场信息，按照国家网络安全有关规定与电力交易机构进行数据交互，承担保密义务，受理市场主体质询，协调处理市场争议；</w:t>
      </w:r>
    </w:p>
    <w:p w14:paraId="580E2ED1">
      <w:pPr>
        <w:pStyle w:val="3"/>
        <w:pageBreakBefore w:val="0"/>
        <w:wordWrap/>
        <w:overflowPunct/>
        <w:topLinePunct w:val="0"/>
        <w:bidi w:val="0"/>
        <w:spacing w:line="560" w:lineRule="exact"/>
        <w:ind w:firstLine="640" w:firstLineChars="200"/>
        <w:jc w:val="both"/>
        <w:rPr>
          <w:rFonts w:hint="eastAsia"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6.</w:t>
      </w:r>
      <w:r>
        <w:rPr>
          <w:rFonts w:hint="eastAsia" w:ascii="Times New Roman" w:hAnsi="Times New Roman" w:cs="Times New Roman"/>
          <w:snapToGrid/>
          <w:kern w:val="2"/>
          <w:sz w:val="32"/>
          <w:szCs w:val="32"/>
          <w:lang w:eastAsia="zh-CN"/>
        </w:rPr>
        <w:t>会同电网企业、交易机构监视和分析市场运行情况，履行相关市场风险防范职责并对</w:t>
      </w:r>
      <w:r>
        <w:rPr>
          <w:rFonts w:hint="eastAsia" w:ascii="Times New Roman" w:hAnsi="Times New Roman" w:cs="Times New Roman"/>
          <w:snapToGrid/>
          <w:kern w:val="2"/>
          <w:sz w:val="32"/>
          <w:szCs w:val="32"/>
          <w:lang w:val="en-US" w:eastAsia="zh-CN"/>
        </w:rPr>
        <w:t>市场细则</w:t>
      </w:r>
      <w:r>
        <w:rPr>
          <w:rFonts w:hint="eastAsia" w:ascii="Times New Roman" w:hAnsi="Times New Roman" w:cs="Times New Roman"/>
          <w:snapToGrid/>
          <w:kern w:val="2"/>
          <w:sz w:val="32"/>
          <w:szCs w:val="32"/>
          <w:lang w:eastAsia="zh-CN"/>
        </w:rPr>
        <w:t>进行分析评估，提出修改完善建议；</w:t>
      </w:r>
    </w:p>
    <w:p w14:paraId="572638D3">
      <w:pPr>
        <w:pStyle w:val="3"/>
        <w:pageBreakBefore w:val="0"/>
        <w:wordWrap/>
        <w:overflowPunct/>
        <w:topLinePunct w:val="0"/>
        <w:bidi w:val="0"/>
        <w:spacing w:line="560" w:lineRule="exact"/>
        <w:ind w:firstLine="640" w:firstLineChars="200"/>
        <w:jc w:val="both"/>
        <w:rPr>
          <w:rFonts w:hint="default" w:ascii="Times New Roman" w:hAnsi="Times New Roman" w:cs="Times New Roman"/>
          <w:snapToGrid/>
          <w:kern w:val="2"/>
          <w:sz w:val="32"/>
          <w:szCs w:val="32"/>
          <w:lang w:val="en-US" w:eastAsia="zh-CN"/>
        </w:rPr>
      </w:pPr>
      <w:r>
        <w:rPr>
          <w:rFonts w:hint="eastAsia" w:ascii="Times New Roman" w:hAnsi="Times New Roman" w:cs="Times New Roman"/>
          <w:snapToGrid/>
          <w:kern w:val="2"/>
          <w:sz w:val="32"/>
          <w:szCs w:val="32"/>
          <w:lang w:val="en-US" w:eastAsia="zh-CN"/>
        </w:rPr>
        <w:t>7.依法依规实施电力调度；</w:t>
      </w:r>
    </w:p>
    <w:p w14:paraId="62493FB4">
      <w:pPr>
        <w:pStyle w:val="3"/>
        <w:pageBreakBefore w:val="0"/>
        <w:wordWrap/>
        <w:overflowPunct/>
        <w:topLinePunct w:val="0"/>
        <w:bidi w:val="0"/>
        <w:spacing w:line="560" w:lineRule="exact"/>
        <w:ind w:firstLine="640" w:firstLineChars="200"/>
        <w:jc w:val="both"/>
        <w:rPr>
          <w:spacing w:val="14"/>
          <w:lang w:eastAsia="zh-CN"/>
        </w:rPr>
      </w:pPr>
      <w:r>
        <w:rPr>
          <w:rFonts w:hint="eastAsia" w:ascii="Times New Roman" w:hAnsi="Times New Roman" w:cs="Times New Roman"/>
          <w:snapToGrid/>
          <w:kern w:val="2"/>
          <w:sz w:val="32"/>
          <w:szCs w:val="32"/>
          <w:lang w:val="en-US" w:eastAsia="zh-CN"/>
        </w:rPr>
        <w:t>8.</w:t>
      </w:r>
      <w:r>
        <w:rPr>
          <w:rFonts w:hint="eastAsia" w:ascii="Times New Roman" w:hAnsi="Times New Roman" w:cs="Times New Roman"/>
          <w:snapToGrid/>
          <w:kern w:val="2"/>
          <w:sz w:val="32"/>
          <w:szCs w:val="32"/>
          <w:lang w:eastAsia="zh-CN"/>
        </w:rPr>
        <w:t>其他法律法规规定的权利和义务。</w:t>
      </w:r>
      <w:r>
        <w:rPr>
          <w:spacing w:val="14"/>
          <w:lang w:eastAsia="zh-CN"/>
        </w:rPr>
        <w:t xml:space="preserve"> </w:t>
      </w:r>
    </w:p>
    <w:p w14:paraId="47856E2A">
      <w:pPr>
        <w:pStyle w:val="3"/>
        <w:pageBreakBefore w:val="0"/>
        <w:wordWrap/>
        <w:overflowPunct/>
        <w:topLinePunct w:val="0"/>
        <w:bidi w:val="0"/>
        <w:spacing w:line="560" w:lineRule="exact"/>
        <w:ind w:firstLine="640" w:firstLineChars="200"/>
        <w:jc w:val="both"/>
        <w:rPr>
          <w:rFonts w:hint="default" w:ascii="Times New Roman" w:hAnsi="Times New Roman" w:cs="Times New Roman"/>
          <w:snapToGrid/>
          <w:kern w:val="2"/>
          <w:sz w:val="32"/>
          <w:szCs w:val="32"/>
          <w:lang w:val="en-US" w:eastAsia="zh-CN"/>
        </w:rPr>
      </w:pPr>
      <w:r>
        <w:rPr>
          <w:rFonts w:hint="eastAsia" w:ascii="Times New Roman" w:hAnsi="Times New Roman" w:cs="Times New Roman"/>
          <w:snapToGrid/>
          <w:kern w:val="2"/>
          <w:sz w:val="32"/>
          <w:szCs w:val="32"/>
          <w:lang w:eastAsia="zh-CN"/>
        </w:rPr>
        <w:t>（</w:t>
      </w:r>
      <w:r>
        <w:rPr>
          <w:rFonts w:hint="eastAsia" w:ascii="Times New Roman" w:hAnsi="Times New Roman" w:cs="Times New Roman"/>
          <w:snapToGrid/>
          <w:kern w:val="2"/>
          <w:sz w:val="32"/>
          <w:szCs w:val="32"/>
          <w:lang w:val="en-US" w:eastAsia="zh-CN"/>
        </w:rPr>
        <w:t>二</w:t>
      </w:r>
      <w:r>
        <w:rPr>
          <w:rFonts w:hint="eastAsia" w:ascii="Times New Roman" w:hAnsi="Times New Roman" w:cs="Times New Roman"/>
          <w:snapToGrid/>
          <w:kern w:val="2"/>
          <w:sz w:val="32"/>
          <w:szCs w:val="32"/>
          <w:lang w:eastAsia="zh-CN"/>
        </w:rPr>
        <w:t>）电力</w:t>
      </w:r>
      <w:r>
        <w:rPr>
          <w:rFonts w:hint="eastAsia" w:ascii="Times New Roman" w:hAnsi="Times New Roman" w:cs="Times New Roman"/>
          <w:snapToGrid/>
          <w:kern w:val="2"/>
          <w:sz w:val="32"/>
          <w:szCs w:val="32"/>
          <w:lang w:val="en-US" w:eastAsia="zh-CN"/>
        </w:rPr>
        <w:t>交易机构</w:t>
      </w:r>
    </w:p>
    <w:p w14:paraId="7385EC1B">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1.</w:t>
      </w:r>
      <w:r>
        <w:rPr>
          <w:rFonts w:hint="eastAsia" w:ascii="Times New Roman" w:hAnsi="Times New Roman" w:cs="Times New Roman"/>
          <w:snapToGrid/>
          <w:kern w:val="2"/>
          <w:sz w:val="32"/>
          <w:szCs w:val="32"/>
          <w:lang w:eastAsia="zh-CN"/>
        </w:rPr>
        <w:t>负责市场成员注册管理；</w:t>
      </w:r>
    </w:p>
    <w:p w14:paraId="7F691CBF">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2.</w:t>
      </w:r>
      <w:r>
        <w:rPr>
          <w:rFonts w:hint="eastAsia" w:ascii="Times New Roman" w:hAnsi="Times New Roman" w:cs="Times New Roman"/>
          <w:snapToGrid/>
          <w:kern w:val="2"/>
          <w:sz w:val="32"/>
          <w:szCs w:val="32"/>
          <w:lang w:eastAsia="zh-CN"/>
        </w:rPr>
        <w:t>负责提供电力市场交易结算依据及相关服务，并出具结算依据，组织协调交易结算问题；</w:t>
      </w:r>
    </w:p>
    <w:p w14:paraId="3F0906D0">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3.</w:t>
      </w:r>
      <w:r>
        <w:rPr>
          <w:bCs/>
          <w:sz w:val="32"/>
          <w:szCs w:val="32"/>
          <w:lang w:eastAsia="zh-CN"/>
        </w:rPr>
        <w:t>负责</w:t>
      </w:r>
      <w:r>
        <w:rPr>
          <w:rFonts w:hint="eastAsia"/>
          <w:bCs/>
          <w:sz w:val="32"/>
          <w:szCs w:val="32"/>
          <w:lang w:eastAsia="zh-CN"/>
        </w:rPr>
        <w:t>信息</w:t>
      </w:r>
      <w:r>
        <w:rPr>
          <w:bCs/>
          <w:sz w:val="32"/>
          <w:szCs w:val="32"/>
          <w:lang w:eastAsia="zh-CN"/>
        </w:rPr>
        <w:t>披露平台建设</w:t>
      </w:r>
      <w:r>
        <w:rPr>
          <w:rFonts w:hint="eastAsia"/>
          <w:bCs/>
          <w:sz w:val="32"/>
          <w:szCs w:val="32"/>
          <w:lang w:eastAsia="zh-CN"/>
        </w:rPr>
        <w:t>、</w:t>
      </w:r>
      <w:r>
        <w:rPr>
          <w:bCs/>
          <w:sz w:val="32"/>
          <w:szCs w:val="32"/>
          <w:lang w:eastAsia="zh-CN"/>
        </w:rPr>
        <w:t>运行维护工作，</w:t>
      </w:r>
      <w:r>
        <w:rPr>
          <w:rFonts w:hint="eastAsia" w:ascii="Times New Roman" w:hAnsi="Times New Roman" w:cs="Times New Roman"/>
          <w:snapToGrid/>
          <w:kern w:val="2"/>
          <w:sz w:val="32"/>
          <w:szCs w:val="32"/>
          <w:lang w:eastAsia="zh-CN"/>
        </w:rPr>
        <w:t>配合电力调度机构按规定披露和发布有关</w:t>
      </w:r>
      <w:r>
        <w:rPr>
          <w:rFonts w:ascii="Times New Roman" w:hAnsi="Times New Roman" w:cs="Times New Roman"/>
          <w:snapToGrid/>
          <w:kern w:val="2"/>
          <w:sz w:val="32"/>
          <w:szCs w:val="32"/>
          <w:lang w:eastAsia="zh-CN"/>
        </w:rPr>
        <w:t>市场</w:t>
      </w:r>
      <w:r>
        <w:rPr>
          <w:rFonts w:hint="eastAsia" w:ascii="Times New Roman" w:hAnsi="Times New Roman" w:cs="Times New Roman"/>
          <w:snapToGrid/>
          <w:kern w:val="2"/>
          <w:sz w:val="32"/>
          <w:szCs w:val="32"/>
          <w:lang w:eastAsia="zh-CN"/>
        </w:rPr>
        <w:t>信息；</w:t>
      </w:r>
    </w:p>
    <w:p w14:paraId="697C8105">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val="en-US" w:eastAsia="zh-CN"/>
        </w:rPr>
        <w:t>4.</w:t>
      </w:r>
      <w:r>
        <w:rPr>
          <w:rFonts w:hint="eastAsia" w:ascii="Times New Roman" w:hAnsi="Times New Roman" w:cs="Times New Roman"/>
          <w:snapToGrid/>
          <w:kern w:val="2"/>
          <w:sz w:val="32"/>
          <w:szCs w:val="32"/>
          <w:lang w:eastAsia="zh-CN"/>
        </w:rPr>
        <w:t>其他法律法规规定的权利和义务。</w:t>
      </w:r>
    </w:p>
    <w:p w14:paraId="23D37B1F">
      <w:pPr>
        <w:pageBreakBefore w:val="0"/>
        <w:wordWrap/>
        <w:overflowPunct/>
        <w:topLinePunct w:val="0"/>
        <w:bidi w:val="0"/>
        <w:spacing w:line="560" w:lineRule="exact"/>
        <w:jc w:val="center"/>
        <w:outlineLvl w:val="0"/>
        <w:rPr>
          <w:rFonts w:ascii="黑体" w:hAnsi="黑体" w:eastAsia="黑体" w:cs="黑体"/>
          <w:spacing w:val="7"/>
          <w:sz w:val="31"/>
          <w:szCs w:val="31"/>
          <w:lang w:eastAsia="zh-CN"/>
        </w:rPr>
      </w:pPr>
      <w:r>
        <w:rPr>
          <w:rFonts w:ascii="黑体" w:hAnsi="黑体" w:eastAsia="黑体" w:cs="黑体"/>
          <w:spacing w:val="7"/>
          <w:sz w:val="31"/>
          <w:szCs w:val="31"/>
          <w:lang w:eastAsia="zh-CN"/>
        </w:rPr>
        <w:t xml:space="preserve">第三章 </w:t>
      </w:r>
      <w:r>
        <w:rPr>
          <w:rFonts w:hint="eastAsia" w:ascii="黑体" w:hAnsi="黑体" w:eastAsia="黑体" w:cs="黑体"/>
          <w:spacing w:val="7"/>
          <w:sz w:val="31"/>
          <w:szCs w:val="31"/>
          <w:lang w:val="en-US" w:eastAsia="zh-CN"/>
        </w:rPr>
        <w:t>市场</w:t>
      </w:r>
      <w:r>
        <w:rPr>
          <w:rFonts w:ascii="黑体" w:hAnsi="黑体" w:eastAsia="黑体" w:cs="黑体"/>
          <w:spacing w:val="7"/>
          <w:sz w:val="31"/>
          <w:szCs w:val="31"/>
          <w:lang w:eastAsia="zh-CN"/>
        </w:rPr>
        <w:t>交易</w:t>
      </w:r>
    </w:p>
    <w:p w14:paraId="2E893501">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highlight w:val="none"/>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 xml:space="preserve">条 </w:t>
      </w:r>
      <w:r>
        <w:rPr>
          <w:rFonts w:hint="eastAsia" w:ascii="Times New Roman" w:hAnsi="Times New Roman" w:cs="Times New Roman"/>
          <w:snapToGrid/>
          <w:kern w:val="2"/>
          <w:sz w:val="32"/>
          <w:szCs w:val="32"/>
          <w:lang w:eastAsia="zh-CN"/>
        </w:rPr>
        <w:t>爬坡辅助服务市场现阶段采用日前报价、日前预出清、日内调用或</w:t>
      </w:r>
      <w:r>
        <w:rPr>
          <w:rFonts w:hint="eastAsia"/>
          <w:szCs w:val="32"/>
          <w:lang w:eastAsia="zh-CN"/>
        </w:rPr>
        <w:t>实时市场出清调用</w:t>
      </w:r>
      <w:r>
        <w:rPr>
          <w:rFonts w:hint="eastAsia" w:ascii="Times New Roman" w:hAnsi="Times New Roman" w:cs="Times New Roman"/>
          <w:snapToGrid/>
          <w:kern w:val="2"/>
          <w:sz w:val="32"/>
          <w:szCs w:val="32"/>
          <w:lang w:eastAsia="zh-CN"/>
        </w:rPr>
        <w:t>的方式。特殊情况下，可以根据电网运行实际情况，日内临时组织爬坡辅助服务市场。原则上日内临时组织爬坡辅助服务市场至少应提前2小时，机组</w:t>
      </w:r>
      <w:r>
        <w:rPr>
          <w:rFonts w:ascii="Times New Roman" w:hAnsi="Times New Roman" w:cs="Times New Roman"/>
          <w:snapToGrid/>
          <w:kern w:val="2"/>
          <w:sz w:val="32"/>
          <w:szCs w:val="32"/>
          <w:lang w:eastAsia="zh-CN"/>
        </w:rPr>
        <w:t>申</w:t>
      </w:r>
      <w:r>
        <w:rPr>
          <w:rFonts w:ascii="Times New Roman" w:hAnsi="Times New Roman" w:cs="Times New Roman"/>
          <w:snapToGrid/>
          <w:kern w:val="2"/>
          <w:sz w:val="32"/>
          <w:szCs w:val="32"/>
          <w:highlight w:val="none"/>
          <w:lang w:eastAsia="zh-CN"/>
        </w:rPr>
        <w:t>报信息沿用日前申报信息</w:t>
      </w:r>
      <w:r>
        <w:rPr>
          <w:rFonts w:hint="eastAsia" w:ascii="Times New Roman" w:hAnsi="Times New Roman" w:cs="Times New Roman"/>
          <w:snapToGrid/>
          <w:kern w:val="2"/>
          <w:sz w:val="32"/>
          <w:szCs w:val="32"/>
          <w:highlight w:val="none"/>
          <w:lang w:eastAsia="zh-CN"/>
        </w:rPr>
        <w:t>。</w:t>
      </w:r>
    </w:p>
    <w:p w14:paraId="1F545939">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highlight w:val="none"/>
          <w:lang w:eastAsia="zh-CN"/>
        </w:rPr>
      </w:pPr>
      <w:r>
        <w:rPr>
          <w:rFonts w:ascii="黑体" w:hAnsi="黑体" w:eastAsia="黑体" w:cs="Times New Roman"/>
          <w:snapToGrid/>
          <w:kern w:val="2"/>
          <w:sz w:val="32"/>
          <w:szCs w:val="32"/>
          <w:highlight w:val="none"/>
          <w:lang w:eastAsia="zh-CN"/>
        </w:rPr>
        <w:t>第十</w:t>
      </w:r>
      <w:r>
        <w:rPr>
          <w:rFonts w:hint="eastAsia" w:ascii="黑体" w:hAnsi="黑体" w:eastAsia="黑体" w:cs="Times New Roman"/>
          <w:snapToGrid/>
          <w:kern w:val="2"/>
          <w:sz w:val="32"/>
          <w:szCs w:val="32"/>
          <w:highlight w:val="none"/>
          <w:lang w:eastAsia="zh-CN"/>
        </w:rPr>
        <w:t xml:space="preserve">一条 </w:t>
      </w:r>
      <w:r>
        <w:rPr>
          <w:rFonts w:hint="eastAsia" w:ascii="Times New Roman" w:hAnsi="Times New Roman" w:cs="Times New Roman"/>
          <w:snapToGrid/>
          <w:kern w:val="2"/>
          <w:sz w:val="32"/>
          <w:szCs w:val="32"/>
          <w:highlight w:val="none"/>
          <w:lang w:eastAsia="zh-CN"/>
        </w:rPr>
        <w:t>日前预出清按照“按需调用、按序调用”的原则，根据爬坡辅助服务供应商报价由低到高进行排序（单价相同的情况下，爬坡速率快者优先），以供日内调用使用。为满足电网爬坡需求，未参与电力现货市场的爬坡辅助服务供应商日内调用顺序原则上根据日前预出清排序调用；已参与现货市场的中标爬坡辅助服务供应商，在实时市场安全约束经济调度（</w:t>
      </w:r>
      <w:r>
        <w:rPr>
          <w:rFonts w:ascii="Times New Roman" w:hAnsi="Times New Roman" w:cs="Times New Roman"/>
          <w:snapToGrid/>
          <w:kern w:val="2"/>
          <w:sz w:val="32"/>
          <w:szCs w:val="32"/>
          <w:highlight w:val="none"/>
          <w:lang w:eastAsia="zh-CN"/>
        </w:rPr>
        <w:t>SCED）出清模型中</w:t>
      </w:r>
      <w:r>
        <w:rPr>
          <w:rFonts w:hint="eastAsia" w:ascii="Times New Roman" w:hAnsi="Times New Roman" w:cs="Times New Roman"/>
          <w:snapToGrid/>
          <w:kern w:val="2"/>
          <w:sz w:val="32"/>
          <w:szCs w:val="32"/>
          <w:highlight w:val="none"/>
          <w:lang w:eastAsia="zh-CN"/>
        </w:rPr>
        <w:t>修改对应的爬坡速率参数，根据实时市场出清结果调用。</w:t>
      </w:r>
    </w:p>
    <w:p w14:paraId="65199F50">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 xml:space="preserve">二条 </w:t>
      </w:r>
      <w:r>
        <w:rPr>
          <w:rFonts w:hint="eastAsia" w:ascii="Times New Roman" w:hAnsi="Times New Roman" w:cs="Times New Roman"/>
          <w:snapToGrid/>
          <w:kern w:val="2"/>
          <w:sz w:val="32"/>
          <w:szCs w:val="32"/>
          <w:lang w:eastAsia="zh-CN"/>
        </w:rPr>
        <w:t>爬坡辅助服务供应商根据交易公告，以机组为单位，每日申报下一日的爬坡价格，电力调度机构按爬坡容量需求组织出清。</w:t>
      </w:r>
    </w:p>
    <w:p w14:paraId="018DF0DD">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三</w:t>
      </w:r>
      <w:r>
        <w:rPr>
          <w:rFonts w:ascii="黑体" w:hAnsi="黑体" w:eastAsia="黑体" w:cs="Times New Roman"/>
          <w:snapToGrid/>
          <w:kern w:val="2"/>
          <w:sz w:val="32"/>
          <w:szCs w:val="32"/>
          <w:lang w:eastAsia="zh-CN"/>
        </w:rPr>
        <w:t>条</w:t>
      </w:r>
      <w:r>
        <w:rPr>
          <w:rFonts w:ascii="Times New Roman" w:hAnsi="Times New Roman" w:cs="Times New Roman"/>
          <w:snapToGrid/>
          <w:kern w:val="2"/>
          <w:sz w:val="32"/>
          <w:szCs w:val="32"/>
          <w:lang w:eastAsia="zh-CN"/>
        </w:rPr>
        <w:t xml:space="preserve"> </w:t>
      </w:r>
      <w:r>
        <w:rPr>
          <w:rFonts w:hint="eastAsia" w:ascii="Times New Roman" w:hAnsi="Times New Roman" w:cs="Times New Roman"/>
          <w:snapToGrid/>
          <w:kern w:val="2"/>
          <w:sz w:val="32"/>
          <w:szCs w:val="32"/>
          <w:lang w:eastAsia="zh-CN"/>
        </w:rPr>
        <w:t>电力调度机构及时通过技术支持系统发布江苏爬坡辅助服务市场交易公告，公告内容包括但不限于：</w:t>
      </w:r>
    </w:p>
    <w:p w14:paraId="1E280879">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（一）江苏爬坡辅助服务市场报价起止时间、报价规则；</w:t>
      </w:r>
    </w:p>
    <w:p w14:paraId="3DE8D858">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（二）江苏爬坡辅助服务市场出清方式、价格形成机制；</w:t>
      </w:r>
    </w:p>
    <w:p w14:paraId="58D02DD9">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（三）江苏爬坡辅助服务市场爬坡容量需求、爬坡容量价格上限。</w:t>
      </w:r>
    </w:p>
    <w:p w14:paraId="694F63A4">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 xml:space="preserve">第十四条 </w:t>
      </w:r>
      <w:r>
        <w:rPr>
          <w:rFonts w:hint="eastAsia" w:ascii="Times New Roman" w:hAnsi="Times New Roman" w:cs="Times New Roman"/>
          <w:snapToGrid/>
          <w:kern w:val="2"/>
          <w:sz w:val="32"/>
          <w:szCs w:val="32"/>
          <w:lang w:eastAsia="zh-CN"/>
        </w:rPr>
        <w:t>电力调度机构组织爬坡辅助服务供应商参与江苏爬坡辅助服务市场报价，爬坡辅助服务供应商根据交易公告，在规定时间内完成市场申报。具体包括：</w:t>
      </w:r>
    </w:p>
    <w:p w14:paraId="67385C1F">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（一）爬坡速率（MW/min）：机组出力的向上/下爬坡速率，</w:t>
      </w:r>
      <w:r>
        <w:rPr>
          <w:rFonts w:ascii="Times New Roman" w:hAnsi="Times New Roman" w:cs="Times New Roman"/>
          <w:snapToGrid/>
          <w:kern w:val="2"/>
          <w:sz w:val="32"/>
          <w:szCs w:val="32"/>
          <w:lang w:eastAsia="zh-CN"/>
        </w:rPr>
        <w:t>申报上限为基准</w:t>
      </w:r>
      <w:r>
        <w:rPr>
          <w:rFonts w:hint="eastAsia" w:ascii="Times New Roman" w:hAnsi="Times New Roman" w:cs="Times New Roman"/>
          <w:snapToGrid/>
          <w:kern w:val="2"/>
          <w:sz w:val="32"/>
          <w:szCs w:val="32"/>
          <w:lang w:eastAsia="zh-CN"/>
        </w:rPr>
        <w:t>爬坡</w:t>
      </w:r>
      <w:r>
        <w:rPr>
          <w:rFonts w:ascii="Times New Roman" w:hAnsi="Times New Roman" w:cs="Times New Roman"/>
          <w:snapToGrid/>
          <w:kern w:val="2"/>
          <w:sz w:val="32"/>
          <w:szCs w:val="32"/>
          <w:lang w:eastAsia="zh-CN"/>
        </w:rPr>
        <w:t>速率的</w:t>
      </w:r>
      <w:r>
        <w:rPr>
          <w:rFonts w:hint="eastAsia" w:ascii="Times New Roman" w:hAnsi="Times New Roman" w:cs="Times New Roman"/>
          <w:snapToGrid/>
          <w:kern w:val="2"/>
          <w:sz w:val="32"/>
          <w:szCs w:val="32"/>
          <w:lang w:eastAsia="zh-CN"/>
        </w:rPr>
        <w:t>5倍</w:t>
      </w:r>
      <w:r>
        <w:rPr>
          <w:rFonts w:ascii="Times New Roman" w:hAnsi="Times New Roman" w:cs="Times New Roman"/>
          <w:snapToGrid/>
          <w:kern w:val="2"/>
          <w:sz w:val="32"/>
          <w:szCs w:val="32"/>
          <w:lang w:eastAsia="zh-CN"/>
        </w:rPr>
        <w:t>，申报下限为机组基准</w:t>
      </w:r>
      <w:r>
        <w:rPr>
          <w:rFonts w:hint="eastAsia" w:ascii="Times New Roman" w:hAnsi="Times New Roman" w:cs="Times New Roman"/>
          <w:snapToGrid/>
          <w:kern w:val="2"/>
          <w:sz w:val="32"/>
          <w:szCs w:val="32"/>
          <w:lang w:eastAsia="zh-CN"/>
        </w:rPr>
        <w:t>爬坡</w:t>
      </w:r>
      <w:r>
        <w:rPr>
          <w:rFonts w:ascii="Times New Roman" w:hAnsi="Times New Roman" w:cs="Times New Roman"/>
          <w:snapToGrid/>
          <w:kern w:val="2"/>
          <w:sz w:val="32"/>
          <w:szCs w:val="32"/>
          <w:lang w:eastAsia="zh-CN"/>
        </w:rPr>
        <w:t>速率。</w:t>
      </w:r>
    </w:p>
    <w:p w14:paraId="572D0704">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（二）爬坡报价（元/MW</w:t>
      </w:r>
      <w:r>
        <w:rPr>
          <w:rFonts w:hint="eastAsia" w:ascii="Times New Roman" w:hAnsi="Times New Roman" w:cs="Times New Roman"/>
          <w:snapToGrid/>
          <w:kern w:val="2"/>
          <w:sz w:val="32"/>
          <w:szCs w:val="32"/>
          <w:lang w:val="en-US" w:eastAsia="zh-CN"/>
        </w:rPr>
        <w:t>h</w:t>
      </w:r>
      <w:r>
        <w:rPr>
          <w:rFonts w:hint="eastAsia" w:ascii="Times New Roman" w:hAnsi="Times New Roman" w:cs="Times New Roman"/>
          <w:snapToGrid/>
          <w:kern w:val="2"/>
          <w:sz w:val="32"/>
          <w:szCs w:val="32"/>
          <w:lang w:eastAsia="zh-CN"/>
        </w:rPr>
        <w:t>）：爬坡容量所对应的价格（元/MW</w:t>
      </w:r>
      <w:r>
        <w:rPr>
          <w:rFonts w:hint="eastAsia" w:ascii="Times New Roman" w:hAnsi="Times New Roman" w:cs="Times New Roman"/>
          <w:snapToGrid/>
          <w:kern w:val="2"/>
          <w:sz w:val="32"/>
          <w:szCs w:val="32"/>
          <w:lang w:val="en-US" w:eastAsia="zh-CN"/>
        </w:rPr>
        <w:t>h</w:t>
      </w:r>
      <w:r>
        <w:rPr>
          <w:rFonts w:hint="eastAsia" w:ascii="Times New Roman" w:hAnsi="Times New Roman" w:cs="Times New Roman"/>
          <w:snapToGrid/>
          <w:kern w:val="2"/>
          <w:sz w:val="32"/>
          <w:szCs w:val="32"/>
          <w:lang w:eastAsia="zh-CN"/>
        </w:rPr>
        <w:t>）。</w:t>
      </w:r>
    </w:p>
    <w:p w14:paraId="3D4C6A31">
      <w:pPr>
        <w:pStyle w:val="3"/>
        <w:pageBreakBefore w:val="0"/>
        <w:wordWrap/>
        <w:overflowPunct/>
        <w:topLinePunct w:val="0"/>
        <w:bidi w:val="0"/>
        <w:spacing w:line="560" w:lineRule="exact"/>
        <w:ind w:firstLine="640" w:firstLineChars="200"/>
        <w:jc w:val="both"/>
        <w:rPr>
          <w:rFonts w:ascii="Times New Roman" w:hAnsi="Times New Roman" w:cs="Times New Roman"/>
          <w:snapToGrid/>
          <w:color w:val="auto"/>
          <w:kern w:val="2"/>
          <w:sz w:val="32"/>
          <w:szCs w:val="32"/>
          <w:lang w:eastAsia="zh-CN"/>
        </w:rPr>
      </w:pPr>
      <w:r>
        <w:rPr>
          <w:rFonts w:hint="eastAsia" w:ascii="Times New Roman" w:hAnsi="Times New Roman" w:cs="Times New Roman"/>
          <w:snapToGrid/>
          <w:kern w:val="2"/>
          <w:sz w:val="32"/>
          <w:szCs w:val="32"/>
          <w:lang w:eastAsia="zh-CN"/>
        </w:rPr>
        <w:t>（三）申报容量（MW）：</w:t>
      </w:r>
      <w:r>
        <w:rPr>
          <w:rFonts w:hint="eastAsia" w:ascii="Times New Roman" w:hAnsi="Times New Roman" w:cs="Times New Roman"/>
          <w:snapToGrid/>
          <w:color w:val="auto"/>
          <w:kern w:val="2"/>
          <w:sz w:val="32"/>
          <w:szCs w:val="32"/>
          <w:lang w:eastAsia="zh-CN"/>
        </w:rPr>
        <w:t>供应商不单独申报发电机组爬坡容量，爬坡容量由机组申报可调上限-下限计算。已参与现货市场的发电机组，机组可调上、下限取日前现货市场申报值；未参与现货市场的机组，机组可调上、下限由发电企业每日申报。</w:t>
      </w:r>
    </w:p>
    <w:p w14:paraId="6E54ED45">
      <w:pPr>
        <w:pStyle w:val="3"/>
        <w:pageBreakBefore w:val="0"/>
        <w:wordWrap/>
        <w:overflowPunct/>
        <w:topLinePunct w:val="0"/>
        <w:bidi w:val="0"/>
        <w:spacing w:line="560" w:lineRule="exact"/>
        <w:ind w:firstLine="640" w:firstLineChars="200"/>
        <w:jc w:val="both"/>
        <w:rPr>
          <w:rFonts w:hint="eastAsia"/>
          <w:sz w:val="32"/>
          <w:szCs w:val="32"/>
          <w:lang w:eastAsia="zh-CN" w:bidi="ar"/>
        </w:rPr>
      </w:pPr>
      <w:r>
        <w:rPr>
          <w:rFonts w:hint="eastAsia" w:ascii="Times New Roman" w:hAnsi="Times New Roman" w:cs="Times New Roman"/>
          <w:snapToGrid/>
          <w:color w:val="auto"/>
          <w:kern w:val="2"/>
          <w:sz w:val="32"/>
          <w:szCs w:val="32"/>
          <w:lang w:eastAsia="zh-CN"/>
        </w:rPr>
        <w:t>（四）是否参与爬坡辅助服务市场。独立新型储能电站及虚拟电厂需申报是否参与爬坡辅助服务市场，若参与，则当日不得</w:t>
      </w:r>
      <w:r>
        <w:rPr>
          <w:rFonts w:eastAsia="仿宋_GB2312"/>
          <w:sz w:val="32"/>
          <w:szCs w:val="32"/>
          <w:lang w:bidi="ar"/>
        </w:rPr>
        <w:t>参与其他辅助服务市场</w:t>
      </w:r>
      <w:r>
        <w:rPr>
          <w:rFonts w:hint="eastAsia"/>
          <w:sz w:val="32"/>
          <w:szCs w:val="32"/>
          <w:lang w:eastAsia="zh-CN" w:bidi="ar"/>
        </w:rPr>
        <w:t>，且储能电站</w:t>
      </w:r>
      <w:r>
        <w:rPr>
          <w:rFonts w:hint="eastAsia" w:ascii="Times New Roman" w:hAnsi="Times New Roman" w:cs="Times New Roman"/>
          <w:snapToGrid/>
          <w:color w:val="auto"/>
          <w:kern w:val="2"/>
          <w:sz w:val="32"/>
          <w:szCs w:val="32"/>
          <w:lang w:eastAsia="zh-CN"/>
        </w:rPr>
        <w:t>需在电能量市场中或充放电计划曲线安排时预留50%的电量</w:t>
      </w:r>
      <w:r>
        <w:rPr>
          <w:rFonts w:hint="eastAsia"/>
          <w:sz w:val="32"/>
          <w:szCs w:val="32"/>
          <w:lang w:eastAsia="zh-CN" w:bidi="ar"/>
        </w:rPr>
        <w:t>。</w:t>
      </w:r>
    </w:p>
    <w:p w14:paraId="645CEC93">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为深度挖掘市场主体爬坡资源、保证市场平稳发展，根据机组爬坡成本、新能源发电成本以及弃电造成的全社会效益损失核定江苏爬坡量市场机组报价上限。市场初期，江苏爬坡辅助服务市场各机组的</w:t>
      </w:r>
      <w:r>
        <w:rPr>
          <w:rFonts w:hint="eastAsia" w:ascii="Times New Roman" w:hAnsi="Times New Roman" w:cs="Times New Roman"/>
          <w:snapToGrid/>
          <w:color w:val="auto"/>
          <w:kern w:val="2"/>
          <w:sz w:val="32"/>
          <w:szCs w:val="32"/>
          <w:lang w:eastAsia="zh-CN"/>
        </w:rPr>
        <w:t>报价下限1元/MWh，上限暂定为现货电能量市场出清价格上限，最小单位1元/MWh</w:t>
      </w:r>
      <w:r>
        <w:rPr>
          <w:rFonts w:hint="eastAsia" w:ascii="Times New Roman" w:hAnsi="Times New Roman" w:cs="Times New Roman"/>
          <w:snapToGrid/>
          <w:kern w:val="2"/>
          <w:sz w:val="32"/>
          <w:szCs w:val="32"/>
          <w:lang w:eastAsia="zh-CN"/>
        </w:rPr>
        <w:t>。</w:t>
      </w:r>
    </w:p>
    <w:p w14:paraId="2874C5BE">
      <w:pPr>
        <w:pStyle w:val="3"/>
        <w:pageBreakBefore w:val="0"/>
        <w:wordWrap/>
        <w:overflowPunct/>
        <w:topLinePunct w:val="0"/>
        <w:bidi w:val="0"/>
        <w:spacing w:line="560" w:lineRule="exact"/>
        <w:ind w:firstLine="640" w:firstLineChars="200"/>
        <w:jc w:val="both"/>
        <w:rPr>
          <w:lang w:eastAsia="zh-CN"/>
        </w:rPr>
      </w:pPr>
      <w:r>
        <w:rPr>
          <w:rFonts w:hint="eastAsia" w:ascii="Times New Roman" w:hAnsi="Times New Roman" w:cs="Times New Roman"/>
          <w:snapToGrid/>
          <w:kern w:val="2"/>
          <w:sz w:val="32"/>
          <w:szCs w:val="32"/>
          <w:lang w:eastAsia="zh-CN"/>
        </w:rPr>
        <w:t>江苏爬坡辅助服务市场试运行过程中，可结合市场运行情况对江苏爬坡辅助服务市场各机组报价上限进行调整。</w:t>
      </w:r>
    </w:p>
    <w:p w14:paraId="372019E6">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五</w:t>
      </w:r>
      <w:r>
        <w:rPr>
          <w:rFonts w:ascii="黑体" w:hAnsi="黑体" w:eastAsia="黑体" w:cs="Times New Roman"/>
          <w:snapToGrid/>
          <w:kern w:val="2"/>
          <w:sz w:val="32"/>
          <w:szCs w:val="32"/>
          <w:lang w:eastAsia="zh-CN"/>
        </w:rPr>
        <w:t>条</w:t>
      </w:r>
      <w:r>
        <w:rPr>
          <w:spacing w:val="58"/>
          <w:lang w:eastAsia="zh-CN"/>
        </w:rPr>
        <w:t xml:space="preserve"> </w:t>
      </w:r>
      <w:r>
        <w:rPr>
          <w:rFonts w:hint="eastAsia" w:ascii="Times New Roman" w:hAnsi="Times New Roman" w:cs="Times New Roman"/>
          <w:snapToGrid/>
          <w:kern w:val="2"/>
          <w:sz w:val="32"/>
          <w:szCs w:val="32"/>
          <w:lang w:eastAsia="zh-CN"/>
        </w:rPr>
        <w:t>电力调度机构根据市场</w:t>
      </w:r>
      <w:r>
        <w:rPr>
          <w:rFonts w:hint="eastAsia" w:ascii="Times New Roman" w:hAnsi="Times New Roman" w:cs="Times New Roman"/>
          <w:snapToGrid/>
          <w:kern w:val="2"/>
          <w:sz w:val="32"/>
          <w:szCs w:val="32"/>
          <w:lang w:val="en-US" w:eastAsia="zh-CN"/>
        </w:rPr>
        <w:t>细则</w:t>
      </w:r>
      <w:r>
        <w:rPr>
          <w:rFonts w:hint="eastAsia" w:ascii="Times New Roman" w:hAnsi="Times New Roman" w:cs="Times New Roman"/>
          <w:snapToGrid/>
          <w:kern w:val="2"/>
          <w:sz w:val="32"/>
          <w:szCs w:val="32"/>
          <w:lang w:eastAsia="zh-CN"/>
        </w:rPr>
        <w:t>，采用“单边竞价，边际出清”的模式，依据市场成本最低的原则，按江苏爬坡辅助服务市场申报价格由低到高排序，以各类资源扣除基准爬坡速率后的申报最大向上、向下爬坡速率作为出清约束对相应申报容量依次成交，直至最后一个市场主体的中标容量累加等于爬坡需求，成交最后1兆瓦时且当日不得参与其他辅助服务市场的申报价格为江苏爬坡辅助服务市场边际出清价格。若出清价格由两家及以上市场主体的报价确定，则按各家该时段申报容量比例分配出清量。</w:t>
      </w:r>
    </w:p>
    <w:p w14:paraId="7045BEA0">
      <w:pPr>
        <w:pStyle w:val="3"/>
        <w:pageBreakBefore w:val="0"/>
        <w:wordWrap/>
        <w:overflowPunct/>
        <w:topLinePunct w:val="0"/>
        <w:bidi w:val="0"/>
        <w:spacing w:line="560" w:lineRule="exact"/>
        <w:ind w:firstLine="640" w:firstLineChars="200"/>
        <w:jc w:val="both"/>
        <w:rPr>
          <w:lang w:eastAsia="zh-CN"/>
        </w:rPr>
      </w:pPr>
      <w:r>
        <w:rPr>
          <w:rFonts w:hint="eastAsia" w:ascii="Times New Roman" w:hAnsi="Times New Roman" w:cs="Times New Roman"/>
          <w:snapToGrid/>
          <w:kern w:val="2"/>
          <w:sz w:val="32"/>
          <w:szCs w:val="32"/>
          <w:lang w:eastAsia="zh-CN"/>
        </w:rPr>
        <w:t>市场出清完成后，电力调度机构将市场出清结果发送至各中标爬坡辅助服务供应商。</w:t>
      </w:r>
    </w:p>
    <w:p w14:paraId="7FD9D1B3">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六</w:t>
      </w:r>
      <w:r>
        <w:rPr>
          <w:rFonts w:ascii="黑体" w:hAnsi="黑体" w:eastAsia="黑体" w:cs="Times New Roman"/>
          <w:snapToGrid/>
          <w:kern w:val="2"/>
          <w:sz w:val="32"/>
          <w:szCs w:val="32"/>
          <w:lang w:eastAsia="zh-CN"/>
        </w:rPr>
        <w:t>条</w:t>
      </w:r>
      <w:r>
        <w:rPr>
          <w:spacing w:val="7"/>
          <w:lang w:eastAsia="zh-CN"/>
        </w:rPr>
        <w:t xml:space="preserve"> </w:t>
      </w:r>
      <w:r>
        <w:rPr>
          <w:rFonts w:hint="eastAsia" w:ascii="Times New Roman" w:hAnsi="Times New Roman" w:cs="Times New Roman"/>
          <w:snapToGrid/>
          <w:kern w:val="2"/>
          <w:sz w:val="32"/>
          <w:szCs w:val="32"/>
          <w:lang w:eastAsia="zh-CN"/>
        </w:rPr>
        <w:t>江苏爬坡辅助服务市场交易主要组织流程如下：</w:t>
      </w:r>
    </w:p>
    <w:p w14:paraId="529DF0A3">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（一）电力</w:t>
      </w:r>
      <w:r>
        <w:rPr>
          <w:rFonts w:ascii="Times New Roman" w:hAnsi="Times New Roman" w:cs="Times New Roman"/>
          <w:snapToGrid/>
          <w:kern w:val="2"/>
          <w:sz w:val="32"/>
          <w:szCs w:val="32"/>
          <w:lang w:eastAsia="zh-CN"/>
        </w:rPr>
        <w:t>调度机构在D-</w:t>
      </w:r>
      <w:r>
        <w:rPr>
          <w:rFonts w:hint="eastAsia" w:ascii="Times New Roman" w:hAnsi="Times New Roman" w:cs="Times New Roman"/>
          <w:snapToGrid/>
          <w:kern w:val="2"/>
          <w:sz w:val="32"/>
          <w:szCs w:val="32"/>
          <w:lang w:eastAsia="zh-CN"/>
        </w:rPr>
        <w:t>1日10:00前</w:t>
      </w:r>
      <w:r>
        <w:rPr>
          <w:rFonts w:ascii="Times New Roman" w:hAnsi="Times New Roman" w:cs="Times New Roman"/>
          <w:snapToGrid/>
          <w:kern w:val="2"/>
          <w:sz w:val="32"/>
          <w:szCs w:val="32"/>
          <w:lang w:eastAsia="zh-CN"/>
        </w:rPr>
        <w:t>，根据D日全网用电负荷和新能源发电预测曲线，计算</w:t>
      </w:r>
      <w:r>
        <w:rPr>
          <w:rFonts w:hint="eastAsia" w:ascii="Times New Roman" w:hAnsi="Times New Roman" w:cs="Times New Roman"/>
          <w:snapToGrid/>
          <w:kern w:val="2"/>
          <w:sz w:val="32"/>
          <w:szCs w:val="32"/>
          <w:lang w:eastAsia="zh-CN"/>
        </w:rPr>
        <w:t>爬坡</w:t>
      </w:r>
      <w:r>
        <w:rPr>
          <w:rFonts w:ascii="Times New Roman" w:hAnsi="Times New Roman" w:cs="Times New Roman"/>
          <w:snapToGrid/>
          <w:kern w:val="2"/>
          <w:sz w:val="32"/>
          <w:szCs w:val="32"/>
          <w:lang w:eastAsia="zh-CN"/>
        </w:rPr>
        <w:t>辅助服务需求曲线</w:t>
      </w:r>
      <w:r>
        <w:rPr>
          <w:rFonts w:hint="eastAsia" w:ascii="Times New Roman" w:hAnsi="Times New Roman" w:cs="Times New Roman"/>
          <w:snapToGrid/>
          <w:kern w:val="2"/>
          <w:sz w:val="32"/>
          <w:szCs w:val="32"/>
          <w:lang w:eastAsia="zh-CN"/>
        </w:rPr>
        <w:t>。当需求</w:t>
      </w:r>
      <w:r>
        <w:rPr>
          <w:rFonts w:ascii="Times New Roman" w:hAnsi="Times New Roman" w:cs="Times New Roman"/>
          <w:snapToGrid/>
          <w:kern w:val="2"/>
          <w:sz w:val="32"/>
          <w:szCs w:val="32"/>
          <w:lang w:eastAsia="zh-CN"/>
        </w:rPr>
        <w:t>曲线相邻两个时间点之间有功功率</w:t>
      </w:r>
      <w:r>
        <w:rPr>
          <w:rFonts w:hint="eastAsia" w:ascii="Times New Roman" w:hAnsi="Times New Roman" w:cs="Times New Roman"/>
          <w:snapToGrid/>
          <w:kern w:val="2"/>
          <w:sz w:val="32"/>
          <w:szCs w:val="32"/>
          <w:lang w:eastAsia="zh-CN"/>
        </w:rPr>
        <w:t>之差超过</w:t>
      </w:r>
      <w:r>
        <w:rPr>
          <w:rFonts w:ascii="Times New Roman" w:hAnsi="Times New Roman" w:cs="Times New Roman"/>
          <w:snapToGrid/>
          <w:kern w:val="2"/>
          <w:sz w:val="32"/>
          <w:szCs w:val="32"/>
          <w:lang w:eastAsia="zh-CN"/>
        </w:rPr>
        <w:t>系统基本爬坡能力</w:t>
      </w:r>
      <w:r>
        <w:rPr>
          <w:rFonts w:hint="eastAsia" w:ascii="Times New Roman" w:hAnsi="Times New Roman" w:cs="Times New Roman"/>
          <w:snapToGrid/>
          <w:kern w:val="2"/>
          <w:sz w:val="32"/>
          <w:szCs w:val="32"/>
          <w:lang w:eastAsia="zh-CN"/>
        </w:rPr>
        <w:t>（市场</w:t>
      </w:r>
      <w:r>
        <w:rPr>
          <w:rFonts w:ascii="Times New Roman" w:hAnsi="Times New Roman" w:cs="Times New Roman"/>
          <w:snapToGrid/>
          <w:kern w:val="2"/>
          <w:sz w:val="32"/>
          <w:szCs w:val="32"/>
          <w:lang w:eastAsia="zh-CN"/>
        </w:rPr>
        <w:t>建设初期暂按</w:t>
      </w:r>
      <w:r>
        <w:rPr>
          <w:rFonts w:hint="eastAsia" w:ascii="Times New Roman" w:hAnsi="Times New Roman" w:cs="Times New Roman"/>
          <w:snapToGrid/>
          <w:kern w:val="2"/>
          <w:sz w:val="32"/>
          <w:szCs w:val="32"/>
          <w:lang w:val="en-US" w:eastAsia="zh-CN"/>
        </w:rPr>
        <w:t>1</w:t>
      </w:r>
      <w:r>
        <w:rPr>
          <w:rFonts w:hint="eastAsia" w:ascii="Times New Roman" w:hAnsi="Times New Roman" w:cs="Times New Roman"/>
          <w:snapToGrid/>
          <w:kern w:val="2"/>
          <w:sz w:val="32"/>
          <w:szCs w:val="32"/>
          <w:lang w:eastAsia="zh-CN"/>
        </w:rPr>
        <w:t>500</w:t>
      </w:r>
      <w:r>
        <w:rPr>
          <w:rFonts w:ascii="Times New Roman" w:hAnsi="Times New Roman" w:cs="Times New Roman"/>
          <w:snapToGrid/>
          <w:kern w:val="2"/>
          <w:sz w:val="32"/>
          <w:szCs w:val="32"/>
          <w:lang w:eastAsia="zh-CN"/>
        </w:rPr>
        <w:t>MW</w:t>
      </w:r>
      <w:r>
        <w:rPr>
          <w:rFonts w:hint="eastAsia" w:ascii="Times New Roman" w:hAnsi="Times New Roman" w:cs="Times New Roman"/>
          <w:snapToGrid/>
          <w:kern w:val="2"/>
          <w:sz w:val="32"/>
          <w:szCs w:val="32"/>
          <w:lang w:val="en-US" w:eastAsia="zh-CN"/>
        </w:rPr>
        <w:t>/5分钟</w:t>
      </w:r>
      <w:r>
        <w:rPr>
          <w:rFonts w:ascii="Times New Roman" w:hAnsi="Times New Roman" w:cs="Times New Roman"/>
          <w:snapToGrid/>
          <w:kern w:val="2"/>
          <w:sz w:val="32"/>
          <w:szCs w:val="32"/>
          <w:lang w:eastAsia="zh-CN"/>
        </w:rPr>
        <w:t>考虑，</w:t>
      </w:r>
      <w:r>
        <w:rPr>
          <w:rFonts w:hint="eastAsia" w:ascii="Times New Roman" w:hAnsi="Times New Roman" w:cs="Times New Roman"/>
          <w:snapToGrid/>
          <w:kern w:val="2"/>
          <w:sz w:val="32"/>
          <w:szCs w:val="32"/>
          <w:lang w:eastAsia="zh-CN"/>
        </w:rPr>
        <w:t>后续</w:t>
      </w:r>
      <w:r>
        <w:rPr>
          <w:rFonts w:ascii="Times New Roman" w:hAnsi="Times New Roman" w:cs="Times New Roman"/>
          <w:snapToGrid/>
          <w:kern w:val="2"/>
          <w:sz w:val="32"/>
          <w:szCs w:val="32"/>
          <w:lang w:eastAsia="zh-CN"/>
        </w:rPr>
        <w:t>视</w:t>
      </w:r>
      <w:r>
        <w:rPr>
          <w:rFonts w:hint="eastAsia" w:ascii="Times New Roman" w:hAnsi="Times New Roman" w:cs="Times New Roman"/>
          <w:snapToGrid/>
          <w:kern w:val="2"/>
          <w:sz w:val="32"/>
          <w:szCs w:val="32"/>
          <w:lang w:eastAsia="zh-CN"/>
        </w:rPr>
        <w:t>系统</w:t>
      </w:r>
      <w:r>
        <w:rPr>
          <w:rFonts w:ascii="Times New Roman" w:hAnsi="Times New Roman" w:cs="Times New Roman"/>
          <w:snapToGrid/>
          <w:kern w:val="2"/>
          <w:sz w:val="32"/>
          <w:szCs w:val="32"/>
          <w:lang w:eastAsia="zh-CN"/>
        </w:rPr>
        <w:t>发展情况适时调整</w:t>
      </w:r>
      <w:r>
        <w:rPr>
          <w:rFonts w:hint="eastAsia" w:ascii="Times New Roman" w:hAnsi="Times New Roman" w:cs="Times New Roman"/>
          <w:snapToGrid/>
          <w:kern w:val="2"/>
          <w:sz w:val="32"/>
          <w:szCs w:val="32"/>
          <w:lang w:eastAsia="zh-CN"/>
        </w:rPr>
        <w:t>）</w:t>
      </w:r>
      <w:r>
        <w:rPr>
          <w:rFonts w:ascii="Times New Roman" w:hAnsi="Times New Roman" w:cs="Times New Roman"/>
          <w:snapToGrid/>
          <w:kern w:val="2"/>
          <w:sz w:val="32"/>
          <w:szCs w:val="32"/>
          <w:lang w:eastAsia="zh-CN"/>
        </w:rPr>
        <w:t>后，启动</w:t>
      </w:r>
      <w:r>
        <w:rPr>
          <w:rFonts w:hint="eastAsia" w:ascii="Times New Roman" w:hAnsi="Times New Roman" w:cs="Times New Roman"/>
          <w:snapToGrid/>
          <w:kern w:val="2"/>
          <w:sz w:val="32"/>
          <w:szCs w:val="32"/>
          <w:lang w:eastAsia="zh-CN"/>
        </w:rPr>
        <w:t>爬坡</w:t>
      </w:r>
      <w:r>
        <w:rPr>
          <w:rFonts w:ascii="Times New Roman" w:hAnsi="Times New Roman" w:cs="Times New Roman"/>
          <w:snapToGrid/>
          <w:kern w:val="2"/>
          <w:sz w:val="32"/>
          <w:szCs w:val="32"/>
          <w:lang w:eastAsia="zh-CN"/>
        </w:rPr>
        <w:t>辅助服务市场，并将超过</w:t>
      </w:r>
      <w:r>
        <w:rPr>
          <w:rFonts w:hint="eastAsia" w:ascii="Times New Roman" w:hAnsi="Times New Roman" w:cs="Times New Roman"/>
          <w:snapToGrid/>
          <w:kern w:val="2"/>
          <w:sz w:val="32"/>
          <w:szCs w:val="32"/>
          <w:lang w:eastAsia="zh-CN"/>
        </w:rPr>
        <w:t>部分</w:t>
      </w:r>
      <w:r>
        <w:rPr>
          <w:rFonts w:ascii="Times New Roman" w:hAnsi="Times New Roman" w:cs="Times New Roman"/>
          <w:snapToGrid/>
          <w:kern w:val="2"/>
          <w:sz w:val="32"/>
          <w:szCs w:val="32"/>
          <w:lang w:eastAsia="zh-CN"/>
        </w:rPr>
        <w:t>功率作为该</w:t>
      </w:r>
      <w:r>
        <w:rPr>
          <w:rFonts w:hint="eastAsia" w:ascii="Times New Roman" w:hAnsi="Times New Roman" w:cs="Times New Roman"/>
          <w:snapToGrid/>
          <w:kern w:val="2"/>
          <w:sz w:val="32"/>
          <w:szCs w:val="32"/>
          <w:lang w:eastAsia="zh-CN"/>
        </w:rPr>
        <w:t>交易</w:t>
      </w:r>
      <w:r>
        <w:rPr>
          <w:rFonts w:ascii="Times New Roman" w:hAnsi="Times New Roman" w:cs="Times New Roman"/>
          <w:snapToGrid/>
          <w:kern w:val="2"/>
          <w:sz w:val="32"/>
          <w:szCs w:val="32"/>
          <w:lang w:eastAsia="zh-CN"/>
        </w:rPr>
        <w:t>时段爬坡容量需求。</w:t>
      </w:r>
      <w:r>
        <w:rPr>
          <w:rFonts w:hint="eastAsia" w:ascii="Times New Roman" w:hAnsi="Times New Roman" w:cs="Times New Roman"/>
          <w:snapToGrid/>
          <w:kern w:val="2"/>
          <w:sz w:val="32"/>
          <w:szCs w:val="32"/>
          <w:lang w:eastAsia="zh-CN"/>
        </w:rPr>
        <w:t>以5分钟</w:t>
      </w:r>
      <w:r>
        <w:rPr>
          <w:rFonts w:ascii="Times New Roman" w:hAnsi="Times New Roman" w:cs="Times New Roman"/>
          <w:snapToGrid/>
          <w:kern w:val="2"/>
          <w:sz w:val="32"/>
          <w:szCs w:val="32"/>
          <w:lang w:eastAsia="zh-CN"/>
        </w:rPr>
        <w:t>为一个交易时段。</w:t>
      </w:r>
    </w:p>
    <w:p w14:paraId="4663E99B">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电力调度机构于D-1日1</w:t>
      </w:r>
      <w:r>
        <w:rPr>
          <w:rFonts w:ascii="Times New Roman" w:hAnsi="Times New Roman" w:cs="Times New Roman"/>
          <w:snapToGrid/>
          <w:kern w:val="2"/>
          <w:sz w:val="32"/>
          <w:szCs w:val="32"/>
          <w:lang w:eastAsia="zh-CN"/>
        </w:rPr>
        <w:t>1</w:t>
      </w:r>
      <w:r>
        <w:rPr>
          <w:rFonts w:hint="eastAsia" w:ascii="Times New Roman" w:hAnsi="Times New Roman" w:cs="Times New Roman"/>
          <w:snapToGrid/>
          <w:kern w:val="2"/>
          <w:sz w:val="32"/>
          <w:szCs w:val="32"/>
          <w:lang w:eastAsia="zh-CN"/>
        </w:rPr>
        <w:t>:00前发布D日江苏爬坡辅助服务市场交易公告，交易公告包括系统爬坡需求、对应时段和报价上限等；</w:t>
      </w:r>
    </w:p>
    <w:p w14:paraId="5733A242">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（二）江苏爬坡辅助服务市场交易公告发布后，爬坡供应商应在D-1日1</w:t>
      </w:r>
      <w:r>
        <w:rPr>
          <w:rFonts w:ascii="Times New Roman" w:hAnsi="Times New Roman" w:cs="Times New Roman"/>
          <w:snapToGrid/>
          <w:kern w:val="2"/>
          <w:sz w:val="32"/>
          <w:szCs w:val="32"/>
          <w:lang w:eastAsia="zh-CN"/>
        </w:rPr>
        <w:t>4</w:t>
      </w:r>
      <w:r>
        <w:rPr>
          <w:rFonts w:hint="eastAsia" w:ascii="Times New Roman" w:hAnsi="Times New Roman" w:cs="Times New Roman"/>
          <w:snapToGrid/>
          <w:kern w:val="2"/>
          <w:sz w:val="32"/>
          <w:szCs w:val="32"/>
          <w:lang w:eastAsia="zh-CN"/>
        </w:rPr>
        <w:t>:00前完成市场申报。</w:t>
      </w:r>
    </w:p>
    <w:p w14:paraId="326B77FE">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（三）市场申报截止后，电力调度机构应在D-1日1</w:t>
      </w:r>
      <w:r>
        <w:rPr>
          <w:rFonts w:ascii="Times New Roman" w:hAnsi="Times New Roman" w:cs="Times New Roman"/>
          <w:snapToGrid/>
          <w:kern w:val="2"/>
          <w:sz w:val="32"/>
          <w:szCs w:val="32"/>
          <w:lang w:eastAsia="zh-CN"/>
        </w:rPr>
        <w:t>5</w:t>
      </w:r>
      <w:r>
        <w:rPr>
          <w:rFonts w:hint="eastAsia" w:ascii="Times New Roman" w:hAnsi="Times New Roman" w:cs="Times New Roman"/>
          <w:snapToGrid/>
          <w:kern w:val="2"/>
          <w:sz w:val="32"/>
          <w:szCs w:val="32"/>
          <w:lang w:eastAsia="zh-CN"/>
        </w:rPr>
        <w:t>:00前完成市场出清并发布市场出清结果；</w:t>
      </w:r>
    </w:p>
    <w:p w14:paraId="4D67D1D7">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（四）市场成员应遵循及时、真实、准确、完整的原则，按照规定报送，并在市场技术支持系统披露相关市场信息。</w:t>
      </w:r>
    </w:p>
    <w:p w14:paraId="0C8E685C">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（五）在D日，电力调度机构根据实际运行情况调用爬坡辅助服务，优先调用D-1日中标机组，再根据电网实际情况，按照D-1日报价、爬坡速率等综合考虑调用非中标机组。</w:t>
      </w:r>
    </w:p>
    <w:p w14:paraId="3F401177">
      <w:pPr>
        <w:pageBreakBefore w:val="0"/>
        <w:wordWrap/>
        <w:overflowPunct/>
        <w:topLinePunct w:val="0"/>
        <w:bidi w:val="0"/>
        <w:spacing w:before="101" w:line="560" w:lineRule="exact"/>
        <w:ind w:left="3072"/>
        <w:outlineLvl w:val="0"/>
        <w:rPr>
          <w:lang w:eastAsia="zh-CN"/>
        </w:rPr>
      </w:pPr>
      <w:r>
        <w:rPr>
          <w:rFonts w:ascii="黑体" w:hAnsi="黑体" w:eastAsia="黑体" w:cs="黑体"/>
          <w:spacing w:val="7"/>
          <w:sz w:val="31"/>
          <w:szCs w:val="31"/>
          <w:lang w:eastAsia="zh-CN"/>
        </w:rPr>
        <w:t xml:space="preserve">第四章 </w:t>
      </w:r>
      <w:r>
        <w:rPr>
          <w:rFonts w:hint="eastAsia" w:ascii="黑体" w:hAnsi="黑体" w:eastAsia="黑体" w:cs="黑体"/>
          <w:spacing w:val="7"/>
          <w:sz w:val="31"/>
          <w:szCs w:val="31"/>
          <w:lang w:eastAsia="zh-CN"/>
        </w:rPr>
        <w:t>计量</w:t>
      </w:r>
      <w:r>
        <w:rPr>
          <w:rFonts w:ascii="黑体" w:hAnsi="黑体" w:eastAsia="黑体" w:cs="黑体"/>
          <w:spacing w:val="7"/>
          <w:sz w:val="31"/>
          <w:szCs w:val="31"/>
          <w:lang w:eastAsia="zh-CN"/>
        </w:rPr>
        <w:t>与</w:t>
      </w:r>
      <w:r>
        <w:rPr>
          <w:rFonts w:hint="eastAsia" w:ascii="黑体" w:hAnsi="黑体" w:eastAsia="黑体" w:cs="黑体"/>
          <w:spacing w:val="7"/>
          <w:sz w:val="31"/>
          <w:szCs w:val="31"/>
          <w:lang w:eastAsia="zh-CN"/>
        </w:rPr>
        <w:t>结算</w:t>
      </w:r>
    </w:p>
    <w:p w14:paraId="6A01F481">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第十</w:t>
      </w:r>
      <w:r>
        <w:rPr>
          <w:rFonts w:hint="eastAsia" w:ascii="黑体" w:hAnsi="黑体" w:eastAsia="黑体" w:cs="Times New Roman"/>
          <w:snapToGrid/>
          <w:kern w:val="2"/>
          <w:sz w:val="32"/>
          <w:szCs w:val="32"/>
          <w:lang w:eastAsia="zh-CN"/>
        </w:rPr>
        <w:t>七</w:t>
      </w:r>
      <w:r>
        <w:rPr>
          <w:rFonts w:ascii="黑体" w:hAnsi="黑体" w:eastAsia="黑体" w:cs="Times New Roman"/>
          <w:snapToGrid/>
          <w:kern w:val="2"/>
          <w:sz w:val="32"/>
          <w:szCs w:val="32"/>
          <w:lang w:eastAsia="zh-CN"/>
        </w:rPr>
        <w:t>条</w:t>
      </w:r>
      <w:r>
        <w:rPr>
          <w:spacing w:val="4"/>
          <w:lang w:eastAsia="zh-CN"/>
        </w:rPr>
        <w:t xml:space="preserve"> </w:t>
      </w:r>
      <w:r>
        <w:rPr>
          <w:rFonts w:hint="eastAsia" w:ascii="Times New Roman" w:hAnsi="Times New Roman" w:cs="Times New Roman"/>
          <w:snapToGrid/>
          <w:kern w:val="2"/>
          <w:sz w:val="32"/>
          <w:szCs w:val="32"/>
          <w:lang w:eastAsia="zh-CN"/>
        </w:rPr>
        <w:t>江苏爬坡辅助服务市场数据计量依据为：调度指令、智能电网调度控制系统采集的实时数据、电能量采集系统的电量数据等。计量和采集周期应当满足爬坡辅助服务最小交易周期和精度要求。</w:t>
      </w:r>
    </w:p>
    <w:p w14:paraId="6D1E2A92">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十八</w:t>
      </w:r>
      <w:r>
        <w:rPr>
          <w:rFonts w:ascii="黑体" w:hAnsi="黑体" w:eastAsia="黑体" w:cs="Times New Roman"/>
          <w:snapToGrid/>
          <w:kern w:val="2"/>
          <w:sz w:val="32"/>
          <w:szCs w:val="32"/>
          <w:lang w:eastAsia="zh-CN"/>
        </w:rPr>
        <w:t>条</w:t>
      </w:r>
      <w:r>
        <w:rPr>
          <w:spacing w:val="16"/>
          <w:lang w:eastAsia="zh-CN"/>
        </w:rPr>
        <w:t xml:space="preserve"> </w:t>
      </w:r>
      <w:r>
        <w:rPr>
          <w:rFonts w:hint="eastAsia"/>
          <w:sz w:val="32"/>
          <w:szCs w:val="32"/>
          <w:lang w:eastAsia="zh-CN"/>
        </w:rPr>
        <w:t>江苏电力爬坡</w:t>
      </w:r>
      <w:r>
        <w:rPr>
          <w:sz w:val="32"/>
          <w:szCs w:val="32"/>
          <w:lang w:eastAsia="zh-CN"/>
        </w:rPr>
        <w:t>辅助服务</w:t>
      </w:r>
      <w:r>
        <w:rPr>
          <w:rFonts w:hint="eastAsia"/>
          <w:sz w:val="32"/>
          <w:szCs w:val="32"/>
          <w:lang w:eastAsia="zh-CN"/>
        </w:rPr>
        <w:t>结算采用“日清月结</w:t>
      </w:r>
      <w:r>
        <w:rPr>
          <w:rFonts w:hint="eastAsia"/>
          <w:sz w:val="32"/>
          <w:szCs w:val="32"/>
          <w:lang w:val="en-US" w:eastAsia="zh-CN"/>
        </w:rPr>
        <w:t>”的方式，每日对已执行的交易结果进行清分计算；以自然月为周期出具结算依据并开展电费结算。</w:t>
      </w:r>
    </w:p>
    <w:p w14:paraId="423EE052">
      <w:pPr>
        <w:pStyle w:val="3"/>
        <w:pageBreakBefore w:val="0"/>
        <w:wordWrap/>
        <w:overflowPunct/>
        <w:topLinePunct w:val="0"/>
        <w:bidi w:val="0"/>
        <w:spacing w:line="560" w:lineRule="exact"/>
        <w:ind w:firstLine="640" w:firstLineChars="200"/>
        <w:jc w:val="both"/>
        <w:rPr>
          <w:highlight w:val="yellow"/>
          <w:lang w:eastAsia="zh-CN"/>
        </w:rPr>
      </w:pPr>
      <w:r>
        <w:rPr>
          <w:rFonts w:hint="eastAsia" w:ascii="Times New Roman" w:hAnsi="Times New Roman" w:cs="Times New Roman"/>
          <w:snapToGrid/>
          <w:kern w:val="2"/>
          <w:sz w:val="32"/>
          <w:szCs w:val="32"/>
          <w:lang w:eastAsia="zh-CN"/>
        </w:rPr>
        <w:t>爬坡辅助服务市场被调用机组（含</w:t>
      </w:r>
      <w:r>
        <w:rPr>
          <w:rFonts w:ascii="Times New Roman" w:hAnsi="Times New Roman" w:cs="Times New Roman"/>
          <w:snapToGrid/>
          <w:kern w:val="2"/>
          <w:sz w:val="32"/>
          <w:szCs w:val="32"/>
          <w:lang w:eastAsia="zh-CN"/>
        </w:rPr>
        <w:t>储能电站、虚拟电厂等主体，下同</w:t>
      </w:r>
      <w:r>
        <w:rPr>
          <w:rFonts w:hint="eastAsia" w:ascii="Times New Roman" w:hAnsi="Times New Roman" w:cs="Times New Roman"/>
          <w:snapToGrid/>
          <w:kern w:val="2"/>
          <w:sz w:val="32"/>
          <w:szCs w:val="32"/>
          <w:lang w:eastAsia="zh-CN"/>
        </w:rPr>
        <w:t>），根据爬坡辅助服务市场出清价格、爬坡速率和</w:t>
      </w:r>
      <w:r>
        <w:rPr>
          <w:rFonts w:ascii="Times New Roman" w:hAnsi="Times New Roman" w:cs="Times New Roman"/>
          <w:snapToGrid/>
          <w:kern w:val="2"/>
          <w:sz w:val="32"/>
          <w:szCs w:val="32"/>
          <w:lang w:eastAsia="zh-CN"/>
        </w:rPr>
        <w:t>实际爬坡调用结果计算补偿费用。机组</w:t>
      </w:r>
      <w:r>
        <w:rPr>
          <w:rFonts w:hint="eastAsia" w:ascii="Times New Roman" w:hAnsi="Times New Roman" w:cs="Times New Roman"/>
          <w:snapToGrid/>
          <w:kern w:val="2"/>
          <w:sz w:val="32"/>
          <w:szCs w:val="32"/>
          <w:lang w:eastAsia="zh-CN"/>
        </w:rPr>
        <w:t>爬坡</w:t>
      </w:r>
      <w:r>
        <w:rPr>
          <w:rFonts w:ascii="Times New Roman" w:hAnsi="Times New Roman" w:cs="Times New Roman"/>
          <w:snapToGrid/>
          <w:kern w:val="2"/>
          <w:sz w:val="32"/>
          <w:szCs w:val="32"/>
          <w:lang w:eastAsia="zh-CN"/>
        </w:rPr>
        <w:t>调用结果根据调度指令和AGC</w:t>
      </w:r>
      <w:r>
        <w:rPr>
          <w:rFonts w:hint="eastAsia" w:ascii="Times New Roman" w:hAnsi="Times New Roman" w:cs="Times New Roman"/>
          <w:snapToGrid/>
          <w:kern w:val="2"/>
          <w:sz w:val="32"/>
          <w:szCs w:val="32"/>
          <w:lang w:eastAsia="zh-CN"/>
        </w:rPr>
        <w:t>基点</w:t>
      </w:r>
      <w:r>
        <w:rPr>
          <w:rFonts w:ascii="Times New Roman" w:hAnsi="Times New Roman" w:cs="Times New Roman"/>
          <w:snapToGrid/>
          <w:kern w:val="2"/>
          <w:sz w:val="32"/>
          <w:szCs w:val="32"/>
          <w:lang w:eastAsia="zh-CN"/>
        </w:rPr>
        <w:t>功率和实际发电</w:t>
      </w:r>
      <w:r>
        <w:rPr>
          <w:rFonts w:hint="eastAsia" w:ascii="Times New Roman" w:hAnsi="Times New Roman" w:cs="Times New Roman"/>
          <w:snapToGrid/>
          <w:kern w:val="2"/>
          <w:sz w:val="32"/>
          <w:szCs w:val="32"/>
          <w:lang w:eastAsia="zh-CN"/>
        </w:rPr>
        <w:t>出力</w:t>
      </w:r>
      <w:r>
        <w:rPr>
          <w:rFonts w:ascii="Times New Roman" w:hAnsi="Times New Roman" w:cs="Times New Roman"/>
          <w:snapToGrid/>
          <w:kern w:val="2"/>
          <w:sz w:val="32"/>
          <w:szCs w:val="32"/>
          <w:lang w:eastAsia="zh-CN"/>
        </w:rPr>
        <w:t>计算</w:t>
      </w:r>
      <w:r>
        <w:rPr>
          <w:rFonts w:hint="eastAsia" w:ascii="Times New Roman" w:hAnsi="Times New Roman" w:cs="Times New Roman"/>
          <w:snapToGrid/>
          <w:kern w:val="2"/>
          <w:sz w:val="32"/>
          <w:szCs w:val="32"/>
          <w:lang w:eastAsia="zh-CN"/>
        </w:rPr>
        <w:t>，</w:t>
      </w:r>
      <w:r>
        <w:rPr>
          <w:rFonts w:ascii="Times New Roman" w:hAnsi="Times New Roman" w:cs="Times New Roman"/>
          <w:snapToGrid/>
          <w:kern w:val="2"/>
          <w:sz w:val="32"/>
          <w:szCs w:val="32"/>
          <w:lang w:eastAsia="zh-CN"/>
        </w:rPr>
        <w:t>以</w:t>
      </w:r>
      <w:r>
        <w:rPr>
          <w:rFonts w:hint="eastAsia" w:ascii="Times New Roman" w:hAnsi="Times New Roman" w:cs="Times New Roman"/>
          <w:snapToGrid/>
          <w:kern w:val="2"/>
          <w:sz w:val="32"/>
          <w:szCs w:val="32"/>
          <w:lang w:eastAsia="zh-CN"/>
        </w:rPr>
        <w:t>单位</w:t>
      </w:r>
      <w:r>
        <w:rPr>
          <w:rFonts w:ascii="Times New Roman" w:hAnsi="Times New Roman" w:cs="Times New Roman"/>
          <w:snapToGrid/>
          <w:kern w:val="2"/>
          <w:sz w:val="32"/>
          <w:szCs w:val="32"/>
          <w:lang w:eastAsia="zh-CN"/>
        </w:rPr>
        <w:t>交易时段为一个费用结算周期</w:t>
      </w:r>
      <w:r>
        <w:rPr>
          <w:rFonts w:hint="eastAsia" w:ascii="Times New Roman" w:hAnsi="Times New Roman" w:cs="Times New Roman"/>
          <w:snapToGrid/>
          <w:kern w:val="2"/>
          <w:sz w:val="32"/>
          <w:szCs w:val="32"/>
          <w:lang w:eastAsia="zh-CN"/>
        </w:rPr>
        <w:t>。</w:t>
      </w:r>
      <w:r>
        <w:rPr>
          <w:rFonts w:ascii="Times New Roman" w:hAnsi="Times New Roman" w:cs="Times New Roman"/>
          <w:snapToGrid/>
          <w:kern w:val="2"/>
          <w:sz w:val="32"/>
          <w:szCs w:val="32"/>
          <w:lang w:eastAsia="zh-CN"/>
        </w:rPr>
        <w:t>对</w:t>
      </w:r>
      <w:r>
        <w:rPr>
          <w:rFonts w:hint="eastAsia" w:ascii="Times New Roman" w:hAnsi="Times New Roman" w:cs="Times New Roman"/>
          <w:snapToGrid/>
          <w:kern w:val="2"/>
          <w:sz w:val="32"/>
          <w:szCs w:val="32"/>
          <w:lang w:eastAsia="zh-CN"/>
        </w:rPr>
        <w:t>实际</w:t>
      </w:r>
      <w:r>
        <w:rPr>
          <w:rFonts w:ascii="Times New Roman" w:hAnsi="Times New Roman" w:cs="Times New Roman"/>
          <w:snapToGrid/>
          <w:kern w:val="2"/>
          <w:sz w:val="32"/>
          <w:szCs w:val="32"/>
          <w:lang w:eastAsia="zh-CN"/>
        </w:rPr>
        <w:t>调节量超过</w:t>
      </w:r>
      <w:r>
        <w:rPr>
          <w:rFonts w:hint="eastAsia" w:ascii="Times New Roman" w:hAnsi="Times New Roman" w:cs="Times New Roman"/>
          <w:snapToGrid/>
          <w:kern w:val="2"/>
          <w:sz w:val="32"/>
          <w:szCs w:val="32"/>
          <w:lang w:eastAsia="zh-CN"/>
        </w:rPr>
        <w:t>基准</w:t>
      </w:r>
      <w:r>
        <w:rPr>
          <w:rFonts w:ascii="Times New Roman" w:hAnsi="Times New Roman" w:cs="Times New Roman"/>
          <w:snapToGrid/>
          <w:kern w:val="2"/>
          <w:sz w:val="32"/>
          <w:szCs w:val="32"/>
          <w:lang w:eastAsia="zh-CN"/>
        </w:rPr>
        <w:t>爬坡速率的机组</w:t>
      </w:r>
      <w:r>
        <w:rPr>
          <w:rFonts w:hint="eastAsia" w:ascii="Times New Roman" w:hAnsi="Times New Roman" w:cs="Times New Roman"/>
          <w:snapToGrid/>
          <w:kern w:val="2"/>
          <w:sz w:val="32"/>
          <w:szCs w:val="32"/>
          <w:lang w:eastAsia="zh-CN"/>
        </w:rPr>
        <w:t>给予</w:t>
      </w:r>
      <w:r>
        <w:rPr>
          <w:rFonts w:ascii="Times New Roman" w:hAnsi="Times New Roman" w:cs="Times New Roman"/>
          <w:snapToGrid/>
          <w:kern w:val="2"/>
          <w:sz w:val="32"/>
          <w:szCs w:val="32"/>
          <w:lang w:eastAsia="zh-CN"/>
        </w:rPr>
        <w:t>补偿，</w:t>
      </w:r>
      <w:r>
        <w:rPr>
          <w:rFonts w:hint="eastAsia" w:ascii="Times New Roman" w:hAnsi="Times New Roman" w:cs="Times New Roman"/>
          <w:snapToGrid/>
          <w:kern w:val="2"/>
          <w:sz w:val="32"/>
          <w:szCs w:val="32"/>
          <w:lang w:eastAsia="zh-CN"/>
        </w:rPr>
        <w:t>补偿费用计算公式如下：</w:t>
      </w:r>
    </w:p>
    <w:p w14:paraId="4499C866">
      <w:pPr>
        <w:pageBreakBefore w:val="0"/>
        <w:wordWrap/>
        <w:overflowPunct/>
        <w:topLinePunct w:val="0"/>
        <w:bidi w:val="0"/>
        <w:spacing w:line="560" w:lineRule="exact"/>
        <w:ind w:firstLine="640" w:firstLineChars="200"/>
        <w:rPr>
          <w:rFonts w:ascii="Times New Roman" w:hAnsi="Times New Roman" w:cs="Times New Roman" w:eastAsiaTheme="minorEastAsia"/>
          <w:sz w:val="32"/>
          <w:szCs w:val="32"/>
          <w:lang w:eastAsia="zh-CN"/>
        </w:rPr>
      </w:pPr>
      <w:r>
        <w:rPr>
          <w:rFonts w:ascii="Times New Roman" w:hAnsi="Times New Roman" w:eastAsia="Times New Roman" w:cs="Times New Roman"/>
          <w:i/>
          <w:iCs/>
          <w:position w:val="6"/>
          <w:sz w:val="32"/>
          <w:szCs w:val="32"/>
        </w:rPr>
        <w:t>F</w:t>
      </w:r>
      <w:r>
        <w:rPr>
          <w:rFonts w:ascii="Times New Roman" w:hAnsi="Times New Roman" w:eastAsia="Times New Roman" w:cs="Times New Roman"/>
          <w:i/>
          <w:iCs/>
          <w:position w:val="1"/>
          <w:sz w:val="32"/>
          <w:szCs w:val="32"/>
          <w:vertAlign w:val="subscript"/>
        </w:rPr>
        <w:t>cap,t</w:t>
      </w:r>
      <w:r>
        <w:rPr>
          <w:rFonts w:ascii="Times New Roman" w:hAnsi="Times New Roman" w:eastAsia="Times New Roman" w:cs="Times New Roman"/>
          <w:i/>
          <w:iCs/>
          <w:spacing w:val="13"/>
          <w:w w:val="101"/>
          <w:position w:val="1"/>
          <w:sz w:val="32"/>
          <w:szCs w:val="32"/>
        </w:rPr>
        <w:t xml:space="preserve"> </w:t>
      </w:r>
      <w:r>
        <w:rPr>
          <w:rFonts w:ascii="Times New Roman" w:hAnsi="Times New Roman" w:eastAsia="Times New Roman" w:cs="Times New Roman"/>
          <w:spacing w:val="4"/>
          <w:position w:val="6"/>
          <w:sz w:val="32"/>
          <w:szCs w:val="32"/>
        </w:rPr>
        <w:t>(</w:t>
      </w:r>
      <w:r>
        <w:rPr>
          <w:rFonts w:ascii="Times New Roman" w:hAnsi="Times New Roman" w:eastAsia="Times New Roman" w:cs="Times New Roman"/>
          <w:i/>
          <w:iCs/>
          <w:spacing w:val="4"/>
          <w:position w:val="6"/>
          <w:sz w:val="32"/>
          <w:szCs w:val="32"/>
        </w:rPr>
        <w:t>i</w:t>
      </w:r>
      <w:r>
        <w:rPr>
          <w:rFonts w:ascii="Times New Roman" w:hAnsi="Times New Roman" w:eastAsia="Times New Roman" w:cs="Times New Roman"/>
          <w:spacing w:val="4"/>
          <w:position w:val="6"/>
          <w:sz w:val="32"/>
          <w:szCs w:val="32"/>
        </w:rPr>
        <w:t xml:space="preserve">) </w:t>
      </w:r>
      <w:r>
        <w:rPr>
          <w:spacing w:val="4"/>
          <w:position w:val="6"/>
          <w:sz w:val="32"/>
          <w:szCs w:val="32"/>
        </w:rPr>
        <w:t>=</w:t>
      </w:r>
      <w:r>
        <w:rPr>
          <w:rFonts w:ascii="Times New Roman" w:hAnsi="Times New Roman" w:cs="Times New Roman"/>
          <w:i/>
          <w:spacing w:val="4"/>
          <w:position w:val="6"/>
          <w:sz w:val="32"/>
          <w:szCs w:val="32"/>
        </w:rPr>
        <w:t>K</w:t>
      </w:r>
      <w:r>
        <w:rPr>
          <w:spacing w:val="4"/>
          <w:position w:val="6"/>
          <w:sz w:val="32"/>
          <w:szCs w:val="32"/>
        </w:rPr>
        <w:t>×</w:t>
      </w:r>
      <w:r>
        <w:rPr>
          <w:rFonts w:ascii="Times New Roman" w:hAnsi="Times New Roman" w:eastAsia="Times New Roman" w:cs="Times New Roman"/>
          <w:i/>
          <w:iCs/>
          <w:position w:val="6"/>
          <w:sz w:val="32"/>
          <w:szCs w:val="32"/>
        </w:rPr>
        <w:t>p</w:t>
      </w:r>
      <w:r>
        <w:rPr>
          <w:rFonts w:ascii="Times New Roman" w:hAnsi="Times New Roman" w:eastAsia="Times New Roman" w:cs="Times New Roman"/>
          <w:i/>
          <w:iCs/>
          <w:position w:val="1"/>
          <w:sz w:val="32"/>
          <w:szCs w:val="32"/>
          <w:vertAlign w:val="subscript"/>
        </w:rPr>
        <w:t>cap,t</w:t>
      </w:r>
      <w:r>
        <w:rPr>
          <w:rFonts w:ascii="Times New Roman" w:hAnsi="Times New Roman" w:eastAsia="Times New Roman" w:cs="Times New Roman"/>
          <w:i/>
          <w:iCs/>
          <w:spacing w:val="4"/>
          <w:position w:val="1"/>
          <w:sz w:val="32"/>
          <w:szCs w:val="32"/>
        </w:rPr>
        <w:t xml:space="preserve"> </w:t>
      </w:r>
      <w:r>
        <w:rPr>
          <w:spacing w:val="4"/>
          <w:position w:val="6"/>
          <w:sz w:val="32"/>
          <w:szCs w:val="32"/>
        </w:rPr>
        <w:t>×</w:t>
      </w:r>
      <w:r>
        <w:rPr>
          <w:rFonts w:ascii="Times New Roman" w:hAnsi="Times New Roman" w:eastAsia="Times New Roman" w:cs="Times New Roman"/>
          <w:i/>
          <w:iCs/>
          <w:position w:val="6"/>
          <w:sz w:val="32"/>
          <w:szCs w:val="32"/>
        </w:rPr>
        <w:t>C</w:t>
      </w:r>
      <w:r>
        <w:rPr>
          <w:rFonts w:ascii="Times New Roman" w:hAnsi="Times New Roman" w:eastAsia="Times New Roman" w:cs="Times New Roman"/>
          <w:i/>
          <w:iCs/>
          <w:position w:val="1"/>
          <w:sz w:val="32"/>
          <w:szCs w:val="32"/>
          <w:vertAlign w:val="subscript"/>
        </w:rPr>
        <w:t>exe,t</w:t>
      </w:r>
      <w:r>
        <w:rPr>
          <w:rFonts w:ascii="Times New Roman" w:hAnsi="Times New Roman" w:eastAsia="Times New Roman" w:cs="Times New Roman"/>
          <w:i/>
          <w:iCs/>
          <w:spacing w:val="10"/>
          <w:w w:val="101"/>
          <w:position w:val="1"/>
          <w:sz w:val="32"/>
          <w:szCs w:val="32"/>
        </w:rPr>
        <w:t xml:space="preserve"> </w:t>
      </w:r>
      <w:r>
        <w:rPr>
          <w:rFonts w:ascii="Times New Roman" w:hAnsi="Times New Roman" w:eastAsia="Times New Roman" w:cs="Times New Roman"/>
          <w:spacing w:val="4"/>
          <w:position w:val="6"/>
          <w:sz w:val="32"/>
          <w:szCs w:val="32"/>
        </w:rPr>
        <w:t>(</w:t>
      </w:r>
      <w:r>
        <w:rPr>
          <w:rFonts w:ascii="Times New Roman" w:hAnsi="Times New Roman" w:eastAsia="Times New Roman" w:cs="Times New Roman"/>
          <w:i/>
          <w:iCs/>
          <w:spacing w:val="4"/>
          <w:position w:val="6"/>
          <w:sz w:val="32"/>
          <w:szCs w:val="32"/>
        </w:rPr>
        <w:t>i</w:t>
      </w:r>
      <w:r>
        <w:rPr>
          <w:rFonts w:ascii="Times New Roman" w:hAnsi="Times New Roman" w:eastAsia="Times New Roman" w:cs="Times New Roman"/>
          <w:spacing w:val="4"/>
          <w:position w:val="6"/>
          <w:sz w:val="32"/>
          <w:szCs w:val="32"/>
        </w:rPr>
        <w:t>)</w:t>
      </w:r>
      <w:r>
        <w:rPr>
          <w:rFonts w:ascii="Times New Roman" w:hAnsi="Times New Roman" w:eastAsia="Times New Roman" w:cs="Times New Roman"/>
          <w:i/>
          <w:iCs/>
          <w:spacing w:val="4"/>
          <w:position w:val="1"/>
          <w:sz w:val="32"/>
          <w:szCs w:val="32"/>
        </w:rPr>
        <w:t xml:space="preserve"> </w:t>
      </w:r>
      <w:r>
        <w:rPr>
          <w:spacing w:val="4"/>
          <w:position w:val="6"/>
          <w:sz w:val="32"/>
          <w:szCs w:val="32"/>
        </w:rPr>
        <w:t>×</w:t>
      </w:r>
      <w:r>
        <w:rPr>
          <w:rFonts w:hint="default" w:ascii="Times New Roman" w:hAnsi="Times New Roman" w:cs="Times New Roman"/>
          <w:spacing w:val="4"/>
          <w:position w:val="6"/>
          <w:sz w:val="32"/>
          <w:szCs w:val="32"/>
        </w:rPr>
        <w:t>Δ</w:t>
      </w:r>
      <w:r>
        <w:rPr>
          <w:rFonts w:hint="default" w:ascii="Times New Roman" w:hAnsi="Times New Roman" w:eastAsia="方正仿宋_GBK" w:cs="Times New Roman"/>
          <w:i/>
          <w:iCs/>
          <w:spacing w:val="4"/>
          <w:position w:val="6"/>
          <w:sz w:val="32"/>
          <w:szCs w:val="32"/>
          <w:lang w:val="en-US" w:eastAsia="zh-CN"/>
        </w:rPr>
        <w:t>t</w:t>
      </w:r>
      <w:r>
        <w:rPr>
          <w:rFonts w:hint="eastAsia" w:eastAsia="宋体"/>
          <w:spacing w:val="4"/>
          <w:position w:val="6"/>
          <w:sz w:val="32"/>
          <w:szCs w:val="32"/>
          <w:lang w:val="en-US" w:eastAsia="zh-CN"/>
        </w:rPr>
        <w:t xml:space="preserve"> </w:t>
      </w:r>
      <w:r>
        <w:rPr>
          <w:spacing w:val="4"/>
          <w:position w:val="6"/>
          <w:sz w:val="32"/>
          <w:szCs w:val="32"/>
        </w:rPr>
        <w:t>×</w:t>
      </w:r>
      <w:r>
        <w:rPr>
          <w:rFonts w:ascii="Times New Roman" w:hAnsi="Times New Roman" w:cs="Times New Roman"/>
          <w:i/>
          <w:spacing w:val="4"/>
          <w:position w:val="6"/>
          <w:sz w:val="32"/>
          <w:szCs w:val="32"/>
        </w:rPr>
        <w:t>K</w:t>
      </w:r>
      <w:r>
        <w:rPr>
          <w:rFonts w:ascii="Times New Roman" w:hAnsi="Times New Roman" w:cs="Times New Roman"/>
          <w:i/>
          <w:spacing w:val="4"/>
          <w:position w:val="6"/>
          <w:sz w:val="32"/>
          <w:szCs w:val="32"/>
          <w:vertAlign w:val="subscript"/>
        </w:rPr>
        <w:t>V</w:t>
      </w:r>
      <w:r>
        <w:rPr>
          <w:rFonts w:ascii="Times New Roman" w:hAnsi="Times New Roman" w:cs="Times New Roman"/>
          <w:spacing w:val="4"/>
          <w:position w:val="6"/>
          <w:sz w:val="32"/>
          <w:szCs w:val="32"/>
        </w:rPr>
        <w:t>(</w:t>
      </w:r>
      <w:r>
        <w:rPr>
          <w:rFonts w:ascii="Times New Roman" w:hAnsi="Times New Roman" w:cs="Times New Roman"/>
          <w:i/>
          <w:spacing w:val="4"/>
          <w:position w:val="6"/>
          <w:sz w:val="32"/>
          <w:szCs w:val="32"/>
        </w:rPr>
        <w:t>i</w:t>
      </w:r>
      <w:r>
        <w:rPr>
          <w:rFonts w:ascii="Times New Roman" w:hAnsi="Times New Roman" w:cs="Times New Roman"/>
          <w:spacing w:val="4"/>
          <w:position w:val="6"/>
          <w:sz w:val="32"/>
          <w:szCs w:val="32"/>
        </w:rPr>
        <w:t>)</w:t>
      </w:r>
    </w:p>
    <w:p w14:paraId="589A82AC">
      <w:pPr>
        <w:pStyle w:val="3"/>
        <w:pageBreakBefore w:val="0"/>
        <w:wordWrap/>
        <w:overflowPunct/>
        <w:topLinePunct w:val="0"/>
        <w:bidi w:val="0"/>
        <w:spacing w:before="212" w:line="560" w:lineRule="exact"/>
        <w:ind w:left="7" w:right="95" w:firstLine="666"/>
        <w:jc w:val="both"/>
        <w:rPr>
          <w:sz w:val="32"/>
          <w:szCs w:val="32"/>
          <w:lang w:eastAsia="zh-CN"/>
        </w:rPr>
      </w:pPr>
      <w:r>
        <w:rPr>
          <w:rFonts w:hint="default" w:ascii="Times New Roman" w:hAnsi="Times New Roman" w:cs="Times New Roman"/>
          <w:sz w:val="32"/>
          <w:szCs w:val="32"/>
          <w:lang w:eastAsia="zh-CN"/>
        </w:rPr>
        <w:t>式中，</w:t>
      </w:r>
      <w:r>
        <w:rPr>
          <w:rFonts w:hint="default" w:ascii="Times New Roman" w:hAnsi="Times New Roman" w:eastAsia="Times New Roman" w:cs="Times New Roman"/>
          <w:i/>
          <w:iCs/>
          <w:sz w:val="32"/>
          <w:szCs w:val="32"/>
          <w:lang w:eastAsia="zh-CN"/>
        </w:rPr>
        <w:t>F</w:t>
      </w:r>
      <w:r>
        <w:rPr>
          <w:rFonts w:hint="default" w:ascii="Times New Roman" w:hAnsi="Times New Roman" w:eastAsia="Times New Roman" w:cs="Times New Roman"/>
          <w:i/>
          <w:iCs/>
          <w:position w:val="-6"/>
          <w:sz w:val="32"/>
          <w:szCs w:val="32"/>
          <w:vertAlign w:val="subscript"/>
          <w:lang w:eastAsia="zh-CN"/>
        </w:rPr>
        <w:t>cap,t</w:t>
      </w:r>
      <w:r>
        <w:rPr>
          <w:rFonts w:hint="default" w:ascii="Times New Roman" w:hAnsi="Times New Roman" w:eastAsia="Times New Roman" w:cs="Times New Roman"/>
          <w:sz w:val="32"/>
          <w:szCs w:val="32"/>
          <w:lang w:eastAsia="zh-CN"/>
        </w:rPr>
        <w:t>(</w:t>
      </w:r>
      <w:r>
        <w:rPr>
          <w:rFonts w:hint="default" w:ascii="Times New Roman" w:hAnsi="Times New Roman" w:eastAsia="Times New Roman" w:cs="Times New Roman"/>
          <w:i/>
          <w:iCs/>
          <w:sz w:val="32"/>
          <w:szCs w:val="32"/>
          <w:lang w:eastAsia="zh-CN"/>
        </w:rPr>
        <w:t>i</w:t>
      </w:r>
      <w:r>
        <w:rPr>
          <w:rFonts w:hint="default" w:ascii="Times New Roman" w:hAnsi="Times New Roman" w:eastAsia="Times New Roman" w:cs="Times New Roman"/>
          <w:sz w:val="32"/>
          <w:szCs w:val="32"/>
          <w:lang w:eastAsia="zh-CN"/>
        </w:rPr>
        <w:t>)</w:t>
      </w:r>
      <w:r>
        <w:rPr>
          <w:rFonts w:hint="default" w:ascii="Times New Roman" w:hAnsi="Times New Roman" w:cs="Times New Roman"/>
          <w:sz w:val="32"/>
          <w:szCs w:val="32"/>
          <w:lang w:eastAsia="zh-CN"/>
        </w:rPr>
        <w:t>为爬坡辅助服务被调用机组</w:t>
      </w:r>
      <w:r>
        <w:rPr>
          <w:rFonts w:hint="default" w:ascii="Times New Roman" w:hAnsi="Times New Roman" w:cs="Times New Roman"/>
          <w:i/>
          <w:sz w:val="32"/>
          <w:szCs w:val="32"/>
          <w:lang w:eastAsia="zh-CN"/>
        </w:rPr>
        <w:t>i</w:t>
      </w:r>
      <w:r>
        <w:rPr>
          <w:rFonts w:hint="default" w:ascii="Times New Roman" w:hAnsi="Times New Roman" w:cs="Times New Roman"/>
          <w:sz w:val="32"/>
          <w:szCs w:val="32"/>
          <w:lang w:eastAsia="zh-CN"/>
        </w:rPr>
        <w:t>在</w:t>
      </w:r>
      <w:r>
        <w:rPr>
          <w:rFonts w:hint="default" w:ascii="Times New Roman" w:hAnsi="Times New Roman" w:cs="Times New Roman"/>
          <w:i/>
          <w:sz w:val="32"/>
          <w:szCs w:val="32"/>
          <w:lang w:eastAsia="zh-CN"/>
        </w:rPr>
        <w:t>t</w:t>
      </w:r>
      <w:r>
        <w:rPr>
          <w:rFonts w:hint="default" w:ascii="Times New Roman" w:hAnsi="Times New Roman" w:cs="Times New Roman"/>
          <w:sz w:val="32"/>
          <w:szCs w:val="32"/>
          <w:lang w:eastAsia="zh-CN"/>
        </w:rPr>
        <w:t>交易时段</w:t>
      </w:r>
      <w:r>
        <w:rPr>
          <w:rFonts w:hint="default" w:ascii="Times New Roman" w:hAnsi="Times New Roman" w:cs="Times New Roman"/>
          <w:spacing w:val="9"/>
          <w:sz w:val="32"/>
          <w:szCs w:val="32"/>
          <w:lang w:eastAsia="zh-CN"/>
        </w:rPr>
        <w:t>获得的补偿费用（元）</w:t>
      </w:r>
      <w:r>
        <w:rPr>
          <w:rFonts w:hint="default" w:ascii="Times New Roman" w:hAnsi="Times New Roman" w:cs="Times New Roman"/>
          <w:spacing w:val="-58"/>
          <w:sz w:val="32"/>
          <w:szCs w:val="32"/>
          <w:lang w:eastAsia="zh-CN"/>
        </w:rPr>
        <w:t>；</w:t>
      </w:r>
      <w:r>
        <w:rPr>
          <w:rFonts w:hint="default" w:ascii="Times New Roman" w:hAnsi="Times New Roman" w:eastAsia="Times New Roman" w:cs="Times New Roman"/>
          <w:i/>
          <w:iCs/>
          <w:sz w:val="32"/>
          <w:szCs w:val="32"/>
          <w:lang w:eastAsia="zh-CN"/>
        </w:rPr>
        <w:t>p</w:t>
      </w:r>
      <w:r>
        <w:rPr>
          <w:rFonts w:hint="default" w:ascii="Times New Roman" w:hAnsi="Times New Roman" w:eastAsia="Times New Roman" w:cs="Times New Roman"/>
          <w:i/>
          <w:iCs/>
          <w:position w:val="-6"/>
          <w:sz w:val="32"/>
          <w:szCs w:val="32"/>
          <w:vertAlign w:val="subscript"/>
          <w:lang w:eastAsia="zh-CN"/>
        </w:rPr>
        <w:t>cap</w:t>
      </w:r>
      <w:r>
        <w:rPr>
          <w:rFonts w:hint="default" w:ascii="Times New Roman" w:hAnsi="Times New Roman" w:cs="Times New Roman" w:eastAsiaTheme="minorEastAsia"/>
          <w:i/>
          <w:iCs/>
          <w:position w:val="-6"/>
          <w:sz w:val="32"/>
          <w:szCs w:val="32"/>
          <w:vertAlign w:val="subscript"/>
          <w:lang w:eastAsia="zh-CN"/>
        </w:rPr>
        <w:t>,t</w:t>
      </w:r>
      <w:r>
        <w:rPr>
          <w:rFonts w:hint="default" w:ascii="Times New Roman" w:hAnsi="Times New Roman" w:cs="Times New Roman"/>
          <w:spacing w:val="13"/>
          <w:sz w:val="32"/>
          <w:szCs w:val="32"/>
          <w:lang w:eastAsia="zh-CN"/>
        </w:rPr>
        <w:t>为</w:t>
      </w:r>
      <w:r>
        <w:rPr>
          <w:rFonts w:hint="default" w:ascii="Times New Roman" w:hAnsi="Times New Roman" w:cs="Times New Roman"/>
          <w:i/>
          <w:spacing w:val="13"/>
          <w:sz w:val="32"/>
          <w:szCs w:val="32"/>
          <w:lang w:eastAsia="zh-CN"/>
        </w:rPr>
        <w:t>t</w:t>
      </w:r>
      <w:r>
        <w:rPr>
          <w:rFonts w:hint="default" w:ascii="Times New Roman" w:hAnsi="Times New Roman" w:cs="Times New Roman"/>
          <w:spacing w:val="13"/>
          <w:sz w:val="32"/>
          <w:szCs w:val="32"/>
          <w:lang w:eastAsia="zh-CN"/>
        </w:rPr>
        <w:t>交易时段爬坡辅助服务市场出清价格（元/</w:t>
      </w:r>
      <w:r>
        <w:rPr>
          <w:rFonts w:hint="default" w:ascii="Times New Roman" w:hAnsi="Times New Roman" w:cs="Times New Roman"/>
          <w:sz w:val="32"/>
          <w:szCs w:val="32"/>
          <w:lang w:eastAsia="zh-CN"/>
        </w:rPr>
        <w:t>MW</w:t>
      </w:r>
      <w:r>
        <w:rPr>
          <w:rFonts w:hint="default" w:ascii="Times New Roman" w:hAnsi="Times New Roman" w:cs="Times New Roman"/>
          <w:sz w:val="32"/>
          <w:szCs w:val="32"/>
          <w:lang w:val="en-US" w:eastAsia="zh-CN"/>
        </w:rPr>
        <w:t>h</w:t>
      </w:r>
      <w:r>
        <w:rPr>
          <w:rFonts w:hint="default" w:ascii="Times New Roman" w:hAnsi="Times New Roman" w:cs="Times New Roman"/>
          <w:spacing w:val="-36"/>
          <w:sz w:val="32"/>
          <w:szCs w:val="32"/>
          <w:lang w:eastAsia="zh-CN"/>
        </w:rPr>
        <w:t>）；</w:t>
      </w:r>
      <w:r>
        <w:rPr>
          <w:rFonts w:hint="default" w:ascii="Times New Roman" w:hAnsi="Times New Roman" w:eastAsia="Times New Roman" w:cs="Times New Roman"/>
          <w:i/>
          <w:iCs/>
          <w:sz w:val="32"/>
          <w:szCs w:val="32"/>
          <w:lang w:eastAsia="zh-CN"/>
        </w:rPr>
        <w:t>K</w:t>
      </w:r>
      <w:r>
        <w:rPr>
          <w:rFonts w:hint="default" w:ascii="Times New Roman" w:hAnsi="Times New Roman" w:eastAsia="Times New Roman" w:cs="Times New Roman"/>
          <w:i/>
          <w:iCs/>
          <w:sz w:val="32"/>
          <w:szCs w:val="32"/>
          <w:vertAlign w:val="subscript"/>
          <w:lang w:eastAsia="zh-CN"/>
        </w:rPr>
        <w:t>V</w:t>
      </w:r>
      <w:r>
        <w:rPr>
          <w:rFonts w:hint="default" w:ascii="Times New Roman" w:hAnsi="Times New Roman" w:eastAsia="Times New Roman" w:cs="Times New Roman"/>
          <w:spacing w:val="3"/>
          <w:sz w:val="32"/>
          <w:szCs w:val="32"/>
          <w:lang w:eastAsia="zh-CN"/>
        </w:rPr>
        <w:t>(</w:t>
      </w:r>
      <w:r>
        <w:rPr>
          <w:rFonts w:hint="default" w:ascii="Times New Roman" w:hAnsi="Times New Roman" w:eastAsia="Times New Roman" w:cs="Times New Roman"/>
          <w:i/>
          <w:iCs/>
          <w:spacing w:val="3"/>
          <w:sz w:val="32"/>
          <w:szCs w:val="32"/>
          <w:lang w:eastAsia="zh-CN"/>
        </w:rPr>
        <w:t>i</w:t>
      </w:r>
      <w:r>
        <w:rPr>
          <w:rFonts w:hint="default" w:ascii="Times New Roman" w:hAnsi="Times New Roman" w:eastAsia="Times New Roman" w:cs="Times New Roman"/>
          <w:spacing w:val="3"/>
          <w:sz w:val="32"/>
          <w:szCs w:val="32"/>
          <w:lang w:eastAsia="zh-CN"/>
        </w:rPr>
        <w:t>)</w:t>
      </w:r>
      <w:r>
        <w:rPr>
          <w:rFonts w:hint="default" w:ascii="Times New Roman" w:hAnsi="Times New Roman" w:cs="Times New Roman"/>
          <w:spacing w:val="2"/>
          <w:sz w:val="32"/>
          <w:szCs w:val="32"/>
          <w:lang w:eastAsia="zh-CN"/>
        </w:rPr>
        <w:t>为机组</w:t>
      </w:r>
      <w:r>
        <w:rPr>
          <w:rFonts w:hint="default" w:ascii="Times New Roman" w:hAnsi="Times New Roman" w:cs="Times New Roman"/>
          <w:i/>
          <w:spacing w:val="2"/>
          <w:sz w:val="32"/>
          <w:szCs w:val="32"/>
          <w:lang w:eastAsia="zh-CN"/>
        </w:rPr>
        <w:t>i</w:t>
      </w:r>
      <w:r>
        <w:rPr>
          <w:rFonts w:hint="default" w:ascii="Times New Roman" w:hAnsi="Times New Roman" w:cs="Times New Roman"/>
          <w:i w:val="0"/>
          <w:iCs/>
          <w:spacing w:val="2"/>
          <w:sz w:val="32"/>
          <w:szCs w:val="32"/>
          <w:lang w:eastAsia="zh-CN"/>
        </w:rPr>
        <w:t>的</w:t>
      </w:r>
      <w:r>
        <w:rPr>
          <w:rFonts w:hint="default" w:ascii="Times New Roman" w:hAnsi="Times New Roman" w:cs="Times New Roman"/>
          <w:spacing w:val="2"/>
          <w:sz w:val="32"/>
          <w:szCs w:val="32"/>
          <w:lang w:eastAsia="zh-CN"/>
        </w:rPr>
        <w:t>爬坡速率折算系数，以江苏爬坡性能最优煤电机组（不含火储联合机组）对应的爬坡性能为基准折算，最大值为</w:t>
      </w:r>
      <w:r>
        <w:rPr>
          <w:rFonts w:hint="default" w:ascii="Times New Roman" w:hAnsi="Times New Roman" w:cs="Times New Roman"/>
          <w:spacing w:val="2"/>
          <w:sz w:val="32"/>
          <w:szCs w:val="32"/>
          <w:lang w:val="en-US" w:eastAsia="zh-CN"/>
        </w:rPr>
        <w:t>2</w:t>
      </w:r>
      <w:r>
        <w:rPr>
          <w:rFonts w:hint="default" w:ascii="Times New Roman" w:hAnsi="Times New Roman" w:cs="Times New Roman"/>
          <w:spacing w:val="11"/>
          <w:sz w:val="32"/>
          <w:szCs w:val="32"/>
          <w:lang w:eastAsia="zh-CN"/>
        </w:rPr>
        <w:t>；</w:t>
      </w:r>
      <w:r>
        <w:rPr>
          <w:rFonts w:hint="default" w:ascii="Times New Roman" w:hAnsi="Times New Roman" w:eastAsia="Arial" w:cs="Times New Roman"/>
          <w:i/>
          <w:spacing w:val="11"/>
          <w:sz w:val="32"/>
          <w:szCs w:val="32"/>
          <w:lang w:eastAsia="zh-CN"/>
        </w:rPr>
        <w:t>K</w:t>
      </w:r>
      <w:r>
        <w:rPr>
          <w:rFonts w:hint="default" w:ascii="Times New Roman" w:hAnsi="Times New Roman" w:cs="Times New Roman"/>
          <w:spacing w:val="11"/>
          <w:sz w:val="32"/>
          <w:szCs w:val="32"/>
          <w:lang w:eastAsia="zh-CN"/>
        </w:rPr>
        <w:t>为爬坡辅助服务补偿系数，参与爬坡辅助服务市场报价的机组</w:t>
      </w:r>
      <w:r>
        <w:rPr>
          <w:rFonts w:hint="default" w:ascii="Times New Roman" w:hAnsi="Times New Roman" w:cs="Times New Roman"/>
          <w:i/>
          <w:spacing w:val="11"/>
          <w:sz w:val="32"/>
          <w:szCs w:val="32"/>
          <w:lang w:eastAsia="zh-CN"/>
        </w:rPr>
        <w:t>K</w:t>
      </w:r>
      <w:r>
        <w:rPr>
          <w:rFonts w:hint="default" w:ascii="Times New Roman" w:hAnsi="Times New Roman" w:cs="Times New Roman"/>
          <w:spacing w:val="11"/>
          <w:sz w:val="32"/>
          <w:szCs w:val="32"/>
          <w:lang w:eastAsia="zh-CN"/>
        </w:rPr>
        <w:t>值取1，其余机组为0.5；</w:t>
      </w:r>
      <w:r>
        <w:rPr>
          <w:rFonts w:hint="default" w:ascii="Times New Roman" w:hAnsi="Times New Roman" w:cs="Times New Roman"/>
          <w:spacing w:val="4"/>
          <w:position w:val="6"/>
          <w:sz w:val="32"/>
          <w:szCs w:val="32"/>
        </w:rPr>
        <w:t>Δ</w:t>
      </w:r>
      <w:r>
        <w:rPr>
          <w:rFonts w:hint="default" w:ascii="Times New Roman" w:hAnsi="Times New Roman" w:eastAsia="方正仿宋_GBK" w:cs="Times New Roman"/>
          <w:i/>
          <w:iCs/>
          <w:spacing w:val="4"/>
          <w:position w:val="6"/>
          <w:sz w:val="32"/>
          <w:szCs w:val="32"/>
          <w:lang w:val="en-US" w:eastAsia="zh-CN"/>
        </w:rPr>
        <w:t>t</w:t>
      </w:r>
      <w:r>
        <w:rPr>
          <w:rFonts w:hint="default" w:ascii="Times New Roman" w:hAnsi="Times New Roman" w:eastAsia="仿宋_GB2312" w:cs="Times New Roman"/>
          <w:i w:val="0"/>
          <w:iCs w:val="0"/>
          <w:spacing w:val="13"/>
          <w:position w:val="0"/>
          <w:sz w:val="32"/>
          <w:szCs w:val="32"/>
          <w:lang w:val="en-US" w:eastAsia="zh-CN"/>
        </w:rPr>
        <w:t>为</w:t>
      </w:r>
      <w:r>
        <w:rPr>
          <w:rFonts w:hint="default" w:ascii="Times New Roman" w:hAnsi="Times New Roman" w:cs="Times New Roman"/>
          <w:spacing w:val="11"/>
          <w:sz w:val="32"/>
          <w:szCs w:val="32"/>
          <w:lang w:val="en-US" w:eastAsia="zh-CN"/>
        </w:rPr>
        <w:t>单个交易时段的时长，即5分钟</w:t>
      </w:r>
      <w:r>
        <w:rPr>
          <w:rFonts w:hint="default" w:ascii="Times New Roman" w:hAnsi="Times New Roman" w:cs="Times New Roman"/>
          <w:spacing w:val="11"/>
          <w:sz w:val="32"/>
          <w:szCs w:val="32"/>
          <w:lang w:eastAsia="zh-CN"/>
        </w:rPr>
        <w:t>。</w:t>
      </w:r>
      <w:r>
        <w:rPr>
          <w:rFonts w:hint="default" w:ascii="Times New Roman" w:hAnsi="Times New Roman" w:eastAsia="Times New Roman" w:cs="Times New Roman"/>
          <w:i/>
          <w:iCs/>
          <w:position w:val="6"/>
          <w:sz w:val="32"/>
          <w:szCs w:val="32"/>
          <w:lang w:eastAsia="zh-CN"/>
        </w:rPr>
        <w:t>C</w:t>
      </w:r>
      <w:r>
        <w:rPr>
          <w:rFonts w:hint="default" w:ascii="Times New Roman" w:hAnsi="Times New Roman" w:eastAsia="Times New Roman" w:cs="Times New Roman"/>
          <w:i/>
          <w:iCs/>
          <w:position w:val="1"/>
          <w:sz w:val="32"/>
          <w:szCs w:val="32"/>
          <w:vertAlign w:val="subscript"/>
          <w:lang w:eastAsia="zh-CN"/>
        </w:rPr>
        <w:t>exe,t</w:t>
      </w:r>
      <w:r>
        <w:rPr>
          <w:rFonts w:hint="default" w:ascii="Times New Roman" w:hAnsi="Times New Roman" w:eastAsia="Times New Roman" w:cs="Times New Roman"/>
          <w:spacing w:val="4"/>
          <w:position w:val="6"/>
          <w:sz w:val="32"/>
          <w:szCs w:val="32"/>
          <w:lang w:eastAsia="zh-CN"/>
        </w:rPr>
        <w:t>(</w:t>
      </w:r>
      <w:r>
        <w:rPr>
          <w:rFonts w:hint="default" w:ascii="Times New Roman" w:hAnsi="Times New Roman" w:eastAsia="Times New Roman" w:cs="Times New Roman"/>
          <w:i/>
          <w:iCs/>
          <w:spacing w:val="4"/>
          <w:position w:val="6"/>
          <w:sz w:val="32"/>
          <w:szCs w:val="32"/>
          <w:lang w:eastAsia="zh-CN"/>
        </w:rPr>
        <w:t>i</w:t>
      </w:r>
      <w:r>
        <w:rPr>
          <w:rFonts w:hint="default" w:ascii="Times New Roman" w:hAnsi="Times New Roman" w:eastAsia="Times New Roman" w:cs="Times New Roman"/>
          <w:spacing w:val="4"/>
          <w:position w:val="6"/>
          <w:sz w:val="32"/>
          <w:szCs w:val="32"/>
          <w:lang w:eastAsia="zh-CN"/>
        </w:rPr>
        <w:t>)</w:t>
      </w:r>
      <w:r>
        <w:rPr>
          <w:rFonts w:hint="default" w:ascii="Times New Roman" w:hAnsi="Times New Roman" w:cs="Times New Roman"/>
          <w:sz w:val="32"/>
          <w:szCs w:val="32"/>
          <w:lang w:eastAsia="zh-CN"/>
        </w:rPr>
        <w:t>为机组</w:t>
      </w:r>
      <w:r>
        <w:rPr>
          <w:rFonts w:hint="default" w:ascii="Times New Roman" w:hAnsi="Times New Roman" w:cs="Times New Roman"/>
          <w:i/>
          <w:sz w:val="32"/>
          <w:szCs w:val="32"/>
          <w:lang w:eastAsia="zh-CN"/>
        </w:rPr>
        <w:t>i</w:t>
      </w:r>
      <w:r>
        <w:rPr>
          <w:rFonts w:hint="default" w:ascii="Times New Roman" w:hAnsi="Times New Roman" w:cs="Times New Roman"/>
          <w:sz w:val="32"/>
          <w:szCs w:val="32"/>
          <w:lang w:eastAsia="zh-CN"/>
        </w:rPr>
        <w:t>在</w:t>
      </w:r>
      <w:r>
        <w:rPr>
          <w:rFonts w:hint="default" w:ascii="Times New Roman" w:hAnsi="Times New Roman" w:cs="Times New Roman"/>
          <w:i/>
          <w:sz w:val="32"/>
          <w:szCs w:val="32"/>
          <w:lang w:eastAsia="zh-CN"/>
        </w:rPr>
        <w:t>t</w:t>
      </w:r>
      <w:r>
        <w:rPr>
          <w:rFonts w:hint="default" w:ascii="Times New Roman" w:hAnsi="Times New Roman" w:cs="Times New Roman"/>
          <w:sz w:val="32"/>
          <w:szCs w:val="32"/>
          <w:lang w:eastAsia="zh-CN"/>
        </w:rPr>
        <w:t>交易</w:t>
      </w:r>
      <w:r>
        <w:rPr>
          <w:sz w:val="32"/>
          <w:szCs w:val="32"/>
          <w:lang w:eastAsia="zh-CN"/>
        </w:rPr>
        <w:t>时段内被调用且</w:t>
      </w:r>
      <w:r>
        <w:rPr>
          <w:rFonts w:hint="eastAsia"/>
          <w:sz w:val="32"/>
          <w:szCs w:val="32"/>
          <w:lang w:eastAsia="zh-CN"/>
        </w:rPr>
        <w:t>实际</w:t>
      </w:r>
      <w:r>
        <w:rPr>
          <w:sz w:val="32"/>
          <w:szCs w:val="32"/>
          <w:lang w:eastAsia="zh-CN"/>
        </w:rPr>
        <w:t>执行的爬坡容量</w:t>
      </w:r>
      <w:r>
        <w:rPr>
          <w:rFonts w:hint="eastAsia"/>
          <w:sz w:val="32"/>
          <w:szCs w:val="32"/>
          <w:lang w:eastAsia="zh-CN"/>
        </w:rPr>
        <w:t>（MW），</w:t>
      </w:r>
      <w:r>
        <w:rPr>
          <w:sz w:val="32"/>
          <w:szCs w:val="32"/>
          <w:lang w:eastAsia="zh-CN"/>
        </w:rPr>
        <w:t>计算公式如下：</w:t>
      </w:r>
    </w:p>
    <w:p w14:paraId="68C5A631">
      <w:pPr>
        <w:pStyle w:val="3"/>
        <w:keepNext w:val="0"/>
        <w:keepLines w:val="0"/>
        <w:pageBreakBefore w:val="0"/>
        <w:widowControl/>
        <w:kinsoku w:val="0"/>
        <w:wordWrap/>
        <w:overflowPunct/>
        <w:topLinePunct w:val="0"/>
        <w:autoSpaceDE w:val="0"/>
        <w:autoSpaceDN w:val="0"/>
        <w:bidi w:val="0"/>
        <w:adjustRightInd w:val="0"/>
        <w:snapToGrid w:val="0"/>
        <w:spacing w:line="240" w:lineRule="auto"/>
        <w:ind w:left="7" w:right="95" w:firstLine="666"/>
        <w:jc w:val="both"/>
        <w:textAlignment w:val="baseline"/>
        <w:rPr>
          <w:rFonts w:hint="eastAsia"/>
          <w:lang w:eastAsia="zh-CN"/>
        </w:rPr>
      </w:pPr>
      <w:r>
        <w:rPr>
          <w:rFonts w:hint="eastAsia"/>
          <w:position w:val="-38"/>
          <w:lang w:eastAsia="zh-CN"/>
        </w:rPr>
        <w:object>
          <v:shape id="_x0000_i1025" o:spt="75" type="#_x0000_t75" style="height:56.85pt;width:347pt;" o:ole="t" filled="f" o:preferrelative="t" stroked="f" coordsize="21600,21600">
            <v:path/>
            <v:fill on="f" focussize="0,0"/>
            <v:stroke on="f"/>
            <v:imagedata r:id="rId6" o:title=""/>
            <o:lock v:ext="edit" aspectratio="f"/>
            <w10:wrap type="none"/>
            <w10:anchorlock/>
          </v:shape>
          <o:OLEObject Type="Embed" ProgID="Equation.DSMT4" ShapeID="_x0000_i1025" DrawAspect="Content" ObjectID="_1468075725" r:id="rId5">
            <o:LockedField>false</o:LockedField>
          </o:OLEObject>
        </w:object>
      </w:r>
    </w:p>
    <w:p w14:paraId="345BD2E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7" w:right="95" w:firstLine="666"/>
        <w:jc w:val="both"/>
        <w:textAlignment w:val="baseline"/>
        <w:rPr>
          <w:sz w:val="32"/>
          <w:szCs w:val="32"/>
          <w:lang w:eastAsia="zh-CN"/>
        </w:rPr>
      </w:pPr>
      <w:r>
        <w:rPr>
          <w:rFonts w:hint="default" w:ascii="Times New Roman" w:hAnsi="Times New Roman" w:cs="Times New Roman"/>
          <w:lang w:eastAsia="zh-CN"/>
        </w:rPr>
        <w:t>其中，</w:t>
      </w:r>
      <w:r>
        <w:rPr>
          <w:rFonts w:hint="default" w:ascii="Times New Roman" w:hAnsi="Times New Roman" w:cs="Times New Roman"/>
          <w:position w:val="-12"/>
        </w:rPr>
        <w:object>
          <v:shape id="_x0000_i1026" o:spt="75" type="#_x0000_t75" style="height:18.75pt;width:39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rPr>
          <w:rFonts w:hint="default" w:ascii="Times New Roman" w:hAnsi="Times New Roman" w:cs="Times New Roman"/>
          <w:lang w:eastAsia="zh-CN"/>
        </w:rPr>
        <w:t>和</w:t>
      </w:r>
      <w:r>
        <w:rPr>
          <w:rFonts w:hint="default" w:ascii="Times New Roman" w:hAnsi="Times New Roman" w:cs="Times New Roman"/>
          <w:position w:val="-12"/>
        </w:rPr>
        <w:object>
          <v:shape id="_x0000_i1027" o:spt="75" type="#_x0000_t75" style="height:18.75pt;width:39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default" w:ascii="Times New Roman" w:hAnsi="Times New Roman" w:cs="Times New Roman"/>
          <w:lang w:eastAsia="zh-CN"/>
        </w:rPr>
        <w:t>分别为机组</w:t>
      </w:r>
      <w:r>
        <w:rPr>
          <w:rFonts w:hint="default" w:ascii="Times New Roman" w:hAnsi="Times New Roman" w:cs="Times New Roman"/>
          <w:i/>
          <w:lang w:eastAsia="zh-CN"/>
        </w:rPr>
        <w:t>i</w:t>
      </w:r>
      <w:r>
        <w:rPr>
          <w:rFonts w:hint="default" w:ascii="Times New Roman" w:hAnsi="Times New Roman" w:cs="Times New Roman"/>
          <w:lang w:eastAsia="zh-CN"/>
        </w:rPr>
        <w:t>在</w:t>
      </w:r>
      <w:r>
        <w:rPr>
          <w:rFonts w:hint="default" w:ascii="Times New Roman" w:hAnsi="Times New Roman" w:cs="Times New Roman"/>
          <w:i/>
          <w:lang w:eastAsia="zh-CN"/>
        </w:rPr>
        <w:t>t</w:t>
      </w:r>
      <w:r>
        <w:rPr>
          <w:rFonts w:hint="default" w:ascii="Times New Roman" w:hAnsi="Times New Roman" w:cs="Times New Roman"/>
          <w:lang w:eastAsia="zh-CN"/>
        </w:rPr>
        <w:t>和</w:t>
      </w:r>
      <w:r>
        <w:rPr>
          <w:rFonts w:hint="default" w:ascii="Times New Roman" w:hAnsi="Times New Roman" w:cs="Times New Roman"/>
          <w:i/>
          <w:lang w:eastAsia="zh-CN"/>
        </w:rPr>
        <w:t>t</w:t>
      </w:r>
      <w:r>
        <w:rPr>
          <w:rFonts w:hint="default" w:ascii="Times New Roman" w:hAnsi="Times New Roman" w:cs="Times New Roman"/>
          <w:lang w:eastAsia="zh-CN"/>
        </w:rPr>
        <w:t>+Δ</w:t>
      </w:r>
      <w:r>
        <w:rPr>
          <w:rFonts w:hint="default" w:ascii="Times New Roman" w:hAnsi="Times New Roman" w:cs="Times New Roman"/>
          <w:i/>
          <w:lang w:eastAsia="zh-CN"/>
        </w:rPr>
        <w:t>t</w:t>
      </w:r>
      <w:r>
        <w:rPr>
          <w:rFonts w:hint="default" w:ascii="Times New Roman" w:hAnsi="Times New Roman" w:cs="Times New Roman"/>
          <w:lang w:eastAsia="zh-CN"/>
        </w:rPr>
        <w:t>时刻的调度指令或AGC基点功率值（MW）；</w:t>
      </w:r>
      <w:r>
        <w:rPr>
          <w:rFonts w:hint="default" w:ascii="Times New Roman" w:hAnsi="Times New Roman" w:cs="Times New Roman"/>
          <w:position w:val="-12"/>
        </w:rPr>
        <w:object>
          <v:shape id="_x0000_i1028" o:spt="75" type="#_x0000_t75" style="height:19.5pt;width:39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default" w:ascii="Times New Roman" w:hAnsi="Times New Roman" w:cs="Times New Roman"/>
          <w:lang w:eastAsia="zh-CN"/>
        </w:rPr>
        <w:t>为机组</w:t>
      </w:r>
      <w:r>
        <w:rPr>
          <w:rFonts w:hint="default" w:ascii="Times New Roman" w:hAnsi="Times New Roman" w:cs="Times New Roman"/>
          <w:i/>
          <w:lang w:eastAsia="zh-CN"/>
        </w:rPr>
        <w:t>i</w:t>
      </w:r>
      <w:r>
        <w:rPr>
          <w:rFonts w:hint="default" w:ascii="Times New Roman" w:hAnsi="Times New Roman" w:cs="Times New Roman"/>
          <w:lang w:eastAsia="zh-CN"/>
        </w:rPr>
        <w:t>在t+Δ</w:t>
      </w:r>
      <w:r>
        <w:rPr>
          <w:rFonts w:hint="default" w:ascii="Times New Roman" w:hAnsi="Times New Roman" w:cs="Times New Roman"/>
          <w:i/>
          <w:lang w:eastAsia="zh-CN"/>
        </w:rPr>
        <w:t>t</w:t>
      </w:r>
      <w:r>
        <w:rPr>
          <w:rFonts w:hint="default" w:ascii="Times New Roman" w:hAnsi="Times New Roman" w:cs="Times New Roman"/>
          <w:lang w:eastAsia="zh-CN"/>
        </w:rPr>
        <w:t>时刻的实际功率（MW）。</w:t>
      </w:r>
      <w:r>
        <w:rPr>
          <w:rFonts w:hint="default" w:ascii="Times New Roman" w:hAnsi="Times New Roman" w:eastAsia="Times New Roman" w:cs="Times New Roman"/>
          <w:i/>
          <w:iCs/>
          <w:sz w:val="32"/>
          <w:szCs w:val="32"/>
          <w:lang w:eastAsia="zh-CN"/>
        </w:rPr>
        <w:t>V</w:t>
      </w:r>
      <w:r>
        <w:rPr>
          <w:rFonts w:hint="default" w:ascii="Times New Roman" w:hAnsi="Times New Roman" w:cs="Times New Roman" w:eastAsiaTheme="minorEastAsia"/>
          <w:spacing w:val="3"/>
          <w:sz w:val="32"/>
          <w:szCs w:val="32"/>
          <w:vertAlign w:val="subscript"/>
          <w:lang w:eastAsia="zh-CN"/>
        </w:rPr>
        <w:t>基础</w:t>
      </w:r>
      <w:r>
        <w:rPr>
          <w:rFonts w:hint="default" w:ascii="Times New Roman" w:hAnsi="Times New Roman" w:eastAsia="Times New Roman" w:cs="Times New Roman"/>
          <w:spacing w:val="3"/>
          <w:sz w:val="32"/>
          <w:szCs w:val="32"/>
          <w:lang w:eastAsia="zh-CN"/>
        </w:rPr>
        <w:t>(</w:t>
      </w:r>
      <w:r>
        <w:rPr>
          <w:rFonts w:hint="default" w:ascii="Times New Roman" w:hAnsi="Times New Roman" w:eastAsia="Times New Roman" w:cs="Times New Roman"/>
          <w:i/>
          <w:iCs/>
          <w:spacing w:val="3"/>
          <w:sz w:val="32"/>
          <w:szCs w:val="32"/>
          <w:lang w:eastAsia="zh-CN"/>
        </w:rPr>
        <w:t>i</w:t>
      </w:r>
      <w:r>
        <w:rPr>
          <w:rFonts w:hint="default" w:ascii="Times New Roman" w:hAnsi="Times New Roman" w:eastAsia="Times New Roman" w:cs="Times New Roman"/>
          <w:spacing w:val="3"/>
          <w:sz w:val="32"/>
          <w:szCs w:val="32"/>
          <w:lang w:eastAsia="zh-CN"/>
        </w:rPr>
        <w:t>)</w:t>
      </w:r>
      <w:r>
        <w:rPr>
          <w:rFonts w:hint="default" w:ascii="Times New Roman" w:hAnsi="Times New Roman" w:cs="Times New Roman"/>
          <w:spacing w:val="2"/>
          <w:sz w:val="32"/>
          <w:szCs w:val="32"/>
          <w:lang w:eastAsia="zh-CN"/>
        </w:rPr>
        <w:t>为机组</w:t>
      </w:r>
      <w:r>
        <w:rPr>
          <w:rFonts w:hint="default" w:ascii="Times New Roman" w:hAnsi="Times New Roman" w:cs="Times New Roman"/>
          <w:i/>
          <w:spacing w:val="2"/>
          <w:sz w:val="32"/>
          <w:szCs w:val="32"/>
          <w:lang w:eastAsia="zh-CN"/>
        </w:rPr>
        <w:t>i</w:t>
      </w:r>
      <w:r>
        <w:rPr>
          <w:rFonts w:hint="default" w:ascii="Times New Roman" w:hAnsi="Times New Roman" w:cs="Times New Roman"/>
          <w:spacing w:val="2"/>
          <w:sz w:val="32"/>
          <w:szCs w:val="32"/>
          <w:lang w:eastAsia="zh-CN"/>
        </w:rPr>
        <w:t>的基准爬坡速率</w:t>
      </w:r>
      <w:r>
        <w:rPr>
          <w:rFonts w:hint="default" w:ascii="Times New Roman" w:hAnsi="Times New Roman" w:cs="Times New Roman"/>
          <w:lang w:eastAsia="zh-CN"/>
        </w:rPr>
        <w:t>（MW/min），市场运行初期，相关主体基准爬坡速率暂按如下标准考虑：煤电机组（含综合利用</w:t>
      </w:r>
      <w:r>
        <w:rPr>
          <w:rFonts w:hint="default" w:ascii="Times New Roman" w:hAnsi="Times New Roman" w:cs="Times New Roman"/>
          <w:lang w:val="en-US" w:eastAsia="zh-CN"/>
        </w:rPr>
        <w:t>及循环流化床机组</w:t>
      </w:r>
      <w:r>
        <w:rPr>
          <w:rFonts w:hint="default" w:ascii="Times New Roman" w:hAnsi="Times New Roman" w:cs="Times New Roman"/>
          <w:lang w:eastAsia="zh-CN"/>
        </w:rPr>
        <w:t>）为</w:t>
      </w:r>
      <w:r>
        <w:rPr>
          <w:rFonts w:hint="default" w:ascii="Times New Roman" w:hAnsi="Times New Roman" w:cs="Times New Roman"/>
          <w:lang w:val="en-US" w:eastAsia="zh-CN"/>
        </w:rPr>
        <w:t>2.5%额定容量/分钟；</w:t>
      </w:r>
      <w:r>
        <w:rPr>
          <w:rFonts w:hint="default" w:ascii="Times New Roman" w:hAnsi="Times New Roman" w:cs="Times New Roman"/>
          <w:lang w:eastAsia="zh-CN"/>
        </w:rPr>
        <w:t>供热燃气机组为1.5%额定容量/分钟；非供热燃气机组为3%额定容量/</w:t>
      </w:r>
      <w:r>
        <w:rPr>
          <w:rFonts w:hint="default" w:ascii="Times New Roman" w:hAnsi="Times New Roman" w:cs="Times New Roman"/>
          <w:lang w:val="en-US" w:eastAsia="zh-CN"/>
        </w:rPr>
        <w:t>分钟</w:t>
      </w:r>
      <w:r>
        <w:rPr>
          <w:rFonts w:hint="default" w:ascii="Times New Roman" w:hAnsi="Times New Roman" w:cs="Times New Roman"/>
          <w:lang w:eastAsia="zh-CN"/>
        </w:rPr>
        <w:t>；新型储能电站为10%额定容量/分钟；虚拟电厂基准爬坡速率暂按0计算。市场初期，机组在一个交易时段内实际执行爬坡容量结算上限为4*</w:t>
      </w:r>
      <w:r>
        <w:rPr>
          <w:rFonts w:hint="default" w:ascii="Times New Roman" w:hAnsi="Times New Roman" w:eastAsia="Times New Roman" w:cs="Times New Roman"/>
          <w:i/>
          <w:iCs/>
          <w:sz w:val="32"/>
          <w:szCs w:val="32"/>
          <w:lang w:eastAsia="zh-CN"/>
        </w:rPr>
        <w:t>V</w:t>
      </w:r>
      <w:r>
        <w:rPr>
          <w:rFonts w:hint="default" w:ascii="Times New Roman" w:hAnsi="Times New Roman" w:cs="Times New Roman" w:eastAsiaTheme="minorEastAsia"/>
          <w:spacing w:val="3"/>
          <w:sz w:val="32"/>
          <w:szCs w:val="32"/>
          <w:vertAlign w:val="subscript"/>
          <w:lang w:eastAsia="zh-CN"/>
        </w:rPr>
        <w:t>基</w:t>
      </w:r>
      <w:r>
        <w:rPr>
          <w:rFonts w:hint="default" w:ascii="Times New Roman" w:hAnsi="Times New Roman" w:cs="Times New Roman" w:eastAsiaTheme="minorEastAsia"/>
          <w:spacing w:val="3"/>
          <w:sz w:val="32"/>
          <w:szCs w:val="32"/>
          <w:vertAlign w:val="subscript"/>
          <w:lang w:val="en-US" w:eastAsia="zh-CN"/>
        </w:rPr>
        <w:t>准</w:t>
      </w:r>
      <w:r>
        <w:rPr>
          <w:rFonts w:hint="default" w:ascii="Times New Roman" w:hAnsi="Times New Roman" w:eastAsia="Times New Roman" w:cs="Times New Roman"/>
          <w:spacing w:val="3"/>
          <w:sz w:val="32"/>
          <w:szCs w:val="32"/>
          <w:lang w:eastAsia="zh-CN"/>
        </w:rPr>
        <w:t>(</w:t>
      </w:r>
      <w:r>
        <w:rPr>
          <w:rFonts w:hint="default" w:ascii="Times New Roman" w:hAnsi="Times New Roman" w:eastAsia="Times New Roman" w:cs="Times New Roman"/>
          <w:i/>
          <w:iCs/>
          <w:spacing w:val="3"/>
          <w:sz w:val="32"/>
          <w:szCs w:val="32"/>
          <w:lang w:eastAsia="zh-CN"/>
        </w:rPr>
        <w:t>i</w:t>
      </w:r>
      <w:r>
        <w:rPr>
          <w:rFonts w:hint="default" w:ascii="Times New Roman" w:hAnsi="Times New Roman" w:eastAsia="Times New Roman" w:cs="Times New Roman"/>
          <w:spacing w:val="3"/>
          <w:sz w:val="32"/>
          <w:szCs w:val="32"/>
          <w:lang w:eastAsia="zh-CN"/>
        </w:rPr>
        <w:t>)</w:t>
      </w:r>
      <w:r>
        <w:rPr>
          <w:rFonts w:hint="default" w:ascii="Times New Roman" w:hAnsi="Times New Roman" w:cs="Times New Roman"/>
          <w:lang w:eastAsia="zh-CN"/>
        </w:rPr>
        <w:t>*Δ</w:t>
      </w:r>
      <w:r>
        <w:rPr>
          <w:rFonts w:hint="default" w:ascii="Times New Roman" w:hAnsi="Times New Roman" w:cs="Times New Roman"/>
          <w:i/>
          <w:lang w:eastAsia="zh-CN"/>
        </w:rPr>
        <w:t>t</w:t>
      </w:r>
      <w:r>
        <w:rPr>
          <w:rFonts w:hint="default" w:ascii="Times New Roman" w:hAnsi="Times New Roman" w:cs="Times New Roman"/>
          <w:lang w:eastAsia="zh-CN"/>
        </w:rPr>
        <w:t>，虚拟电厂实际执行爬坡容量按照超出现货市场出清的正向调节量进行结算，无结算上限。后续视市场建设及相关主体发展情况调整机组基准爬坡速率。</w:t>
      </w:r>
    </w:p>
    <w:p w14:paraId="03FB1E0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5" w:right="48" w:firstLine="647"/>
        <w:jc w:val="both"/>
        <w:textAlignment w:val="baseline"/>
        <w:rPr>
          <w:rFonts w:hint="eastAsia"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十九</w:t>
      </w:r>
      <w:r>
        <w:rPr>
          <w:rFonts w:ascii="黑体" w:hAnsi="黑体" w:eastAsia="黑体" w:cs="Times New Roman"/>
          <w:snapToGrid/>
          <w:kern w:val="2"/>
          <w:sz w:val="32"/>
          <w:szCs w:val="32"/>
          <w:lang w:eastAsia="zh-CN"/>
        </w:rPr>
        <w:t>条</w:t>
      </w:r>
      <w:r>
        <w:rPr>
          <w:spacing w:val="9"/>
          <w:lang w:eastAsia="zh-CN"/>
        </w:rPr>
        <w:t xml:space="preserve"> </w:t>
      </w:r>
      <w:r>
        <w:rPr>
          <w:rFonts w:hint="eastAsia" w:ascii="Times New Roman" w:hAnsi="Times New Roman" w:cs="Times New Roman"/>
          <w:snapToGrid/>
          <w:kern w:val="2"/>
          <w:sz w:val="32"/>
          <w:szCs w:val="32"/>
          <w:lang w:eastAsia="zh-CN"/>
        </w:rPr>
        <w:t>参与爬坡辅助服务的供应商实际爬坡能力无法达到其所申报的爬坡能力时，应及时向电力调度机构报告，相关供应商不得虚报、瞒报。电力调度机构将不定期组织对中标爬坡辅助服务供应商的爬坡能力进行测试，确认其具备所申报的爬坡能力。</w:t>
      </w:r>
    </w:p>
    <w:p w14:paraId="354D6D4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5" w:right="48" w:firstLine="647"/>
        <w:jc w:val="both"/>
        <w:textAlignment w:val="baseline"/>
        <w:rPr>
          <w:rFonts w:hint="default" w:ascii="Times New Roman" w:hAnsi="Times New Roman" w:cs="Times New Roman"/>
          <w:snapToGrid/>
          <w:kern w:val="2"/>
          <w:sz w:val="32"/>
          <w:szCs w:val="32"/>
          <w:lang w:val="en-US" w:eastAsia="zh-CN"/>
        </w:rPr>
      </w:pPr>
      <w:r>
        <w:rPr>
          <w:rFonts w:hint="eastAsia" w:ascii="黑体" w:hAnsi="黑体" w:eastAsia="黑体" w:cs="Times New Roman"/>
          <w:snapToGrid/>
          <w:kern w:val="2"/>
          <w:sz w:val="32"/>
          <w:szCs w:val="32"/>
          <w:lang w:eastAsia="zh-CN"/>
        </w:rPr>
        <w:t>第二十条</w:t>
      </w:r>
      <w:r>
        <w:rPr>
          <w:rFonts w:hint="eastAsia" w:ascii="Times New Roman" w:hAnsi="Times New Roman" w:cs="Times New Roman"/>
          <w:snapToGrid/>
          <w:kern w:val="2"/>
          <w:sz w:val="32"/>
          <w:szCs w:val="32"/>
          <w:lang w:val="en-US" w:eastAsia="zh-CN"/>
        </w:rPr>
        <w:t xml:space="preserve"> 参与爬坡辅助服务的供应商在中标时段若投入AGC，则其提供的调节里程不纳入调频辅助服务市场结算。</w:t>
      </w:r>
    </w:p>
    <w:p w14:paraId="78A7C4E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5" w:right="48" w:firstLine="647"/>
        <w:jc w:val="both"/>
        <w:textAlignment w:val="baseline"/>
        <w:rPr>
          <w:rFonts w:hint="eastAsia"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第二十一条</w:t>
      </w:r>
      <w:r>
        <w:rPr>
          <w:rFonts w:hint="eastAsia" w:ascii="Times New Roman" w:hAnsi="Times New Roman" w:cs="Times New Roman"/>
          <w:snapToGrid/>
          <w:kern w:val="2"/>
          <w:sz w:val="32"/>
          <w:szCs w:val="32"/>
          <w:lang w:val="en-US" w:eastAsia="zh-CN"/>
        </w:rPr>
        <w:t xml:space="preserve"> </w:t>
      </w:r>
      <w:r>
        <w:rPr>
          <w:rFonts w:hint="eastAsia" w:ascii="Times New Roman" w:hAnsi="Times New Roman" w:cs="Times New Roman"/>
          <w:snapToGrid/>
          <w:kern w:val="2"/>
          <w:sz w:val="32"/>
          <w:szCs w:val="32"/>
          <w:lang w:eastAsia="zh-CN"/>
        </w:rPr>
        <w:t>电力调度机构负责经营主体爬坡辅助服务调用及执行情况记录，开展爬坡辅助服务补偿、分摊等相关费用计算，并将费用计算结果推送电网企业、电力交易机构。电网企业负责辅助服务计量工作，并开展辅助服务费用收付。</w:t>
      </w:r>
    </w:p>
    <w:p w14:paraId="1AE0D0E0">
      <w:pPr>
        <w:spacing w:line="540" w:lineRule="exact"/>
        <w:ind w:firstLine="640" w:firstLineChars="200"/>
        <w:rPr>
          <w:rFonts w:hint="eastAsia" w:ascii="Times New Roman" w:hAnsi="Times New Roman" w:eastAsia="仿宋_GB2312" w:cs="Times New Roman"/>
          <w:snapToGrid/>
          <w:color w:val="000000"/>
          <w:kern w:val="2"/>
          <w:sz w:val="32"/>
          <w:szCs w:val="32"/>
          <w:lang w:val="en-US" w:eastAsia="zh-CN" w:bidi="ar-SA"/>
        </w:rPr>
      </w:pPr>
      <w:r>
        <w:rPr>
          <w:rFonts w:hint="eastAsia" w:ascii="黑体" w:hAnsi="黑体" w:eastAsia="黑体" w:cs="Times New Roman"/>
          <w:snapToGrid/>
          <w:kern w:val="2"/>
          <w:sz w:val="32"/>
          <w:szCs w:val="32"/>
          <w:lang w:eastAsia="zh-CN"/>
        </w:rPr>
        <w:t>第二十二条</w:t>
      </w:r>
      <w:r>
        <w:rPr>
          <w:rFonts w:hint="eastAsia" w:ascii="Times New Roman" w:hAnsi="Times New Roman" w:eastAsia="仿宋_GB2312" w:cs="Times New Roman"/>
          <w:snapToGrid/>
          <w:color w:val="000000"/>
          <w:kern w:val="2"/>
          <w:sz w:val="32"/>
          <w:szCs w:val="32"/>
          <w:lang w:val="en-US" w:eastAsia="zh-CN" w:bidi="ar-SA"/>
        </w:rPr>
        <w:t xml:space="preserve"> 电网企业、电力交易机构每月底提前7日分别预测次月电力用户工商业用电量、未参与电能量交易发电企业上网电量（含调试运行期的发电机组、新型储能以及未参照电能量市场价格结算的正式运行发电机组、新型储能等结算上网电量，下同）并提供至电力调度机构；电力调度机构每月底提前5日预测次月各经营主体爬坡辅助服务补偿费用度电分摊金额并提供至电网企业和电力交易机构，电网企业在次月代理购电价格表中对爬坡辅助服务补偿费用度电分摊金额予以公开。</w:t>
      </w:r>
    </w:p>
    <w:p w14:paraId="0526E5E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第二十三条</w:t>
      </w:r>
      <w:r>
        <w:rPr>
          <w:rFonts w:hint="eastAsia" w:ascii="Times New Roman" w:hAnsi="Times New Roman" w:cs="Times New Roman"/>
          <w:snapToGrid/>
          <w:kern w:val="2"/>
          <w:sz w:val="32"/>
          <w:szCs w:val="32"/>
          <w:lang w:val="en-US" w:eastAsia="zh-CN"/>
        </w:rPr>
        <w:t xml:space="preserve"> 爬坡</w:t>
      </w:r>
      <w:r>
        <w:rPr>
          <w:rFonts w:hint="eastAsia" w:ascii="Times New Roman" w:hAnsi="Times New Roman" w:cs="Times New Roman"/>
          <w:snapToGrid/>
          <w:kern w:val="2"/>
          <w:sz w:val="32"/>
          <w:szCs w:val="32"/>
          <w:lang w:eastAsia="zh-CN"/>
        </w:rPr>
        <w:t>辅助服务市场补偿费用，由电力用户工商业用电量、未参与电能量市场交易发电企业结算上网电量共同分摊。补偿费用度电分摊金额计算公式为：月度爬坡补偿费用度电分摊金额＝爬坡市场月度总补偿费用/（月度电力用户工商业总用电量+M×月度未参与电能量市场交易发电企业总结算上网电量）。</w:t>
      </w:r>
    </w:p>
    <w:p w14:paraId="36764CB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M为爬坡辅助服务费用用户侧和发电侧分摊比例，初期暂按1执行，后续视市场运行情况，由省级价格主管部门会能源监管机构确定。</w:t>
      </w:r>
    </w:p>
    <w:p w14:paraId="5D01E53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各主体月度分摊费用计算公式为：月度爬坡补偿费用分摊金额=度电分摊金额×用户月度工商业用电量（或M×未参与电能力市场交易发电企业月度结算上网电量）。</w:t>
      </w:r>
    </w:p>
    <w:p w14:paraId="6B6BA5A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第二十四条</w:t>
      </w:r>
      <w:r>
        <w:rPr>
          <w:rFonts w:hint="eastAsia" w:ascii="Times New Roman" w:hAnsi="Times New Roman" w:cs="Times New Roman"/>
          <w:snapToGrid/>
          <w:kern w:val="2"/>
          <w:sz w:val="32"/>
          <w:szCs w:val="32"/>
          <w:lang w:val="en-US" w:eastAsia="zh-CN"/>
        </w:rPr>
        <w:t xml:space="preserve"> </w:t>
      </w:r>
      <w:r>
        <w:rPr>
          <w:rFonts w:hint="eastAsia" w:ascii="Times New Roman" w:hAnsi="Times New Roman" w:cs="Times New Roman"/>
          <w:snapToGrid/>
          <w:kern w:val="2"/>
          <w:sz w:val="32"/>
          <w:szCs w:val="32"/>
          <w:lang w:eastAsia="zh-CN"/>
        </w:rPr>
        <w:t>发电机组及新型储能调试运行期按照《关于进一步贯彻落实&lt;发电机组进入及退出商业运营办法&gt;的通知》（苏监能市场〔2025〕26号）的有关规定执行。</w:t>
      </w:r>
    </w:p>
    <w:p w14:paraId="2945FEA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第二十五条</w:t>
      </w:r>
      <w:r>
        <w:rPr>
          <w:rFonts w:hint="eastAsia" w:ascii="Times New Roman" w:hAnsi="Times New Roman" w:cs="Times New Roman"/>
          <w:snapToGrid/>
          <w:kern w:val="2"/>
          <w:sz w:val="32"/>
          <w:szCs w:val="32"/>
          <w:lang w:val="en-US" w:eastAsia="zh-CN"/>
        </w:rPr>
        <w:t xml:space="preserve"> 爬坡</w:t>
      </w:r>
      <w:r>
        <w:rPr>
          <w:rFonts w:hint="eastAsia" w:ascii="Times New Roman" w:hAnsi="Times New Roman" w:cs="Times New Roman"/>
          <w:snapToGrid/>
          <w:kern w:val="2"/>
          <w:sz w:val="32"/>
          <w:szCs w:val="32"/>
          <w:lang w:eastAsia="zh-CN"/>
        </w:rPr>
        <w:t>辅助服务结算遵循收支平衡原则，各品种辅助服务费用应在电费结算单中单独列示，不得与其他费用叠加打捆。</w:t>
      </w:r>
    </w:p>
    <w:p w14:paraId="15FD009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黑体" w:hAnsi="黑体" w:eastAsia="黑体" w:cs="Times New Roman"/>
          <w:snapToGrid/>
          <w:kern w:val="2"/>
          <w:sz w:val="32"/>
          <w:szCs w:val="32"/>
          <w:lang w:eastAsia="zh-CN"/>
        </w:rPr>
        <w:t>第二十六条</w:t>
      </w:r>
      <w:r>
        <w:rPr>
          <w:rFonts w:hint="eastAsia" w:ascii="Times New Roman" w:hAnsi="Times New Roman" w:cs="Times New Roman"/>
          <w:snapToGrid/>
          <w:kern w:val="2"/>
          <w:sz w:val="32"/>
          <w:szCs w:val="32"/>
          <w:lang w:val="en-US" w:eastAsia="zh-CN"/>
        </w:rPr>
        <w:t xml:space="preserve"> </w:t>
      </w:r>
      <w:r>
        <w:rPr>
          <w:rFonts w:hint="eastAsia" w:ascii="Times New Roman" w:hAnsi="Times New Roman" w:cs="Times New Roman"/>
          <w:snapToGrid/>
          <w:kern w:val="2"/>
          <w:sz w:val="32"/>
          <w:szCs w:val="32"/>
          <w:lang w:eastAsia="zh-CN"/>
        </w:rPr>
        <w:t>经核对因爬坡市场月度总补偿费用、用户工商业用电量、未参与电能量市场交易发电企业结算上网电量等预测偏差导致的当月实际分摊费用偏差，在次月爬坡辅助服务补偿费用度电分摊金额测算过程中滚动清算。</w:t>
      </w:r>
    </w:p>
    <w:p w14:paraId="4DB7A07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7" w:right="45" w:firstLine="646"/>
        <w:jc w:val="both"/>
        <w:textAlignment w:val="baseline"/>
        <w:rPr>
          <w:rFonts w:hint="eastAsia" w:ascii="Times New Roman" w:hAnsi="Times New Roman" w:cs="Times New Roman"/>
          <w:snapToGrid/>
          <w:kern w:val="2"/>
          <w:sz w:val="32"/>
          <w:szCs w:val="32"/>
          <w:lang w:eastAsia="zh-CN"/>
        </w:rPr>
      </w:pPr>
      <w:r>
        <w:rPr>
          <w:rFonts w:hint="eastAsia" w:ascii="Times New Roman" w:hAnsi="Times New Roman" w:cs="Times New Roman"/>
          <w:snapToGrid/>
          <w:kern w:val="2"/>
          <w:sz w:val="32"/>
          <w:szCs w:val="32"/>
          <w:lang w:eastAsia="zh-CN"/>
        </w:rPr>
        <w:t>经核对因用户工商业用电量、未参与电能量市场交易发电企业结算上网电量数据异常以及其他规则允许情况对已结算补偿、分摊费用需要进行调整的，按需调整月用户工商业调整电量（或未参与电能量市场交易发电企业调整电量）和需调整月度电分摊金额计算偏差费用，偏差费用纳入最近一次结算周期进行结算。</w:t>
      </w:r>
    </w:p>
    <w:p w14:paraId="5D08BCB1">
      <w:pPr>
        <w:keepNext w:val="0"/>
        <w:keepLines w:val="0"/>
        <w:pageBreakBefore w:val="0"/>
        <w:widowControl/>
        <w:kinsoku w:val="0"/>
        <w:wordWrap/>
        <w:overflowPunct/>
        <w:topLinePunct w:val="0"/>
        <w:autoSpaceDE w:val="0"/>
        <w:autoSpaceDN w:val="0"/>
        <w:bidi w:val="0"/>
        <w:adjustRightInd w:val="0"/>
        <w:snapToGrid w:val="0"/>
        <w:spacing w:line="560" w:lineRule="exact"/>
        <w:ind w:left="3231"/>
        <w:textAlignment w:val="baseline"/>
        <w:outlineLvl w:val="0"/>
        <w:rPr>
          <w:lang w:eastAsia="zh-CN"/>
        </w:rPr>
      </w:pPr>
      <w:r>
        <w:rPr>
          <w:rFonts w:ascii="黑体" w:hAnsi="黑体" w:eastAsia="黑体" w:cs="黑体"/>
          <w:spacing w:val="7"/>
          <w:sz w:val="31"/>
          <w:szCs w:val="31"/>
          <w:lang w:eastAsia="zh-CN"/>
        </w:rPr>
        <w:t>第五章 信息披露</w:t>
      </w:r>
    </w:p>
    <w:p w14:paraId="7D74AA0C">
      <w:pPr>
        <w:pStyle w:val="3"/>
        <w:pageBreakBefore w:val="0"/>
        <w:wordWrap/>
        <w:overflowPunct/>
        <w:topLinePunct w:val="0"/>
        <w:bidi w:val="0"/>
        <w:spacing w:line="560" w:lineRule="exact"/>
        <w:ind w:firstLine="640" w:firstLineChars="200"/>
        <w:jc w:val="both"/>
        <w:rPr>
          <w:rFonts w:hint="eastAsia"/>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二</w:t>
      </w:r>
      <w:r>
        <w:rPr>
          <w:rFonts w:ascii="黑体" w:hAnsi="黑体" w:eastAsia="黑体" w:cs="Times New Roman"/>
          <w:snapToGrid/>
          <w:kern w:val="2"/>
          <w:sz w:val="32"/>
          <w:szCs w:val="32"/>
          <w:lang w:eastAsia="zh-CN"/>
        </w:rPr>
        <w:t>十</w:t>
      </w:r>
      <w:r>
        <w:rPr>
          <w:rFonts w:hint="eastAsia" w:ascii="黑体" w:hAnsi="黑体" w:eastAsia="黑体" w:cs="Times New Roman"/>
          <w:snapToGrid/>
          <w:kern w:val="2"/>
          <w:sz w:val="32"/>
          <w:szCs w:val="32"/>
          <w:lang w:eastAsia="zh-CN"/>
        </w:rPr>
        <w:t>七</w:t>
      </w:r>
      <w:r>
        <w:rPr>
          <w:rFonts w:ascii="黑体" w:hAnsi="黑体" w:eastAsia="黑体" w:cs="Times New Roman"/>
          <w:snapToGrid/>
          <w:kern w:val="2"/>
          <w:sz w:val="32"/>
          <w:szCs w:val="32"/>
          <w:lang w:eastAsia="zh-CN"/>
        </w:rPr>
        <w:t>条</w:t>
      </w:r>
      <w:r>
        <w:rPr>
          <w:spacing w:val="76"/>
          <w:lang w:eastAsia="zh-CN"/>
        </w:rPr>
        <w:t xml:space="preserve"> </w:t>
      </w:r>
      <w:r>
        <w:rPr>
          <w:rFonts w:hint="eastAsia"/>
          <w:sz w:val="32"/>
          <w:szCs w:val="32"/>
          <w:lang w:eastAsia="zh-CN"/>
        </w:rPr>
        <w:t>电网</w:t>
      </w:r>
      <w:r>
        <w:rPr>
          <w:sz w:val="32"/>
          <w:szCs w:val="32"/>
          <w:lang w:eastAsia="zh-CN"/>
        </w:rPr>
        <w:t>企业、市场运营机构</w:t>
      </w:r>
      <w:r>
        <w:rPr>
          <w:rFonts w:hint="eastAsia"/>
          <w:sz w:val="32"/>
          <w:szCs w:val="32"/>
          <w:lang w:eastAsia="zh-CN"/>
        </w:rPr>
        <w:t>应</w:t>
      </w:r>
      <w:r>
        <w:rPr>
          <w:sz w:val="32"/>
          <w:szCs w:val="32"/>
          <w:lang w:eastAsia="zh-CN"/>
        </w:rPr>
        <w:t>按规定</w:t>
      </w:r>
      <w:r>
        <w:rPr>
          <w:rFonts w:hint="eastAsia"/>
          <w:sz w:val="32"/>
          <w:szCs w:val="32"/>
          <w:lang w:eastAsia="zh-CN"/>
        </w:rPr>
        <w:t>做好</w:t>
      </w:r>
      <w:r>
        <w:rPr>
          <w:sz w:val="32"/>
          <w:szCs w:val="32"/>
          <w:lang w:eastAsia="zh-CN"/>
        </w:rPr>
        <w:t>信息披露工作，按照要求及时</w:t>
      </w:r>
      <w:r>
        <w:rPr>
          <w:rFonts w:hint="eastAsia"/>
          <w:sz w:val="32"/>
          <w:szCs w:val="32"/>
          <w:lang w:eastAsia="zh-CN"/>
        </w:rPr>
        <w:t>发布电力爬坡辅助服务市场相关信息。</w:t>
      </w:r>
    </w:p>
    <w:p w14:paraId="7C103F99">
      <w:pPr>
        <w:pStyle w:val="3"/>
        <w:pageBreakBefore w:val="0"/>
        <w:wordWrap/>
        <w:overflowPunct/>
        <w:topLinePunct w:val="0"/>
        <w:bidi w:val="0"/>
        <w:spacing w:line="560" w:lineRule="exact"/>
        <w:ind w:firstLine="640" w:firstLineChars="200"/>
        <w:jc w:val="both"/>
        <w:rPr>
          <w:rFonts w:hint="eastAsia"/>
          <w:sz w:val="32"/>
          <w:szCs w:val="32"/>
          <w:lang w:eastAsia="zh-CN"/>
        </w:rPr>
      </w:pPr>
      <w:r>
        <w:rPr>
          <w:rFonts w:hint="eastAsia" w:ascii="黑体" w:hAnsi="黑体" w:eastAsia="黑体" w:cs="Times New Roman"/>
          <w:snapToGrid/>
          <w:kern w:val="2"/>
          <w:sz w:val="32"/>
          <w:szCs w:val="32"/>
          <w:lang w:eastAsia="zh-CN"/>
        </w:rPr>
        <w:t>第二十八条</w:t>
      </w:r>
      <w:r>
        <w:rPr>
          <w:rFonts w:hint="eastAsia" w:ascii="黑体" w:hAnsi="黑体" w:eastAsia="黑体" w:cs="Times New Roman"/>
          <w:snapToGrid/>
          <w:kern w:val="2"/>
          <w:sz w:val="32"/>
          <w:szCs w:val="32"/>
          <w:lang w:val="en-US" w:eastAsia="zh-CN"/>
        </w:rPr>
        <w:t xml:space="preserve"> </w:t>
      </w:r>
      <w:r>
        <w:rPr>
          <w:rFonts w:hint="default" w:ascii="Times New Roman" w:hAnsi="Times New Roman" w:cs="Times New Roman"/>
          <w:sz w:val="32"/>
          <w:szCs w:val="32"/>
          <w:lang w:eastAsia="zh-CN"/>
        </w:rPr>
        <w:t>电力调度机构应按日披露前一日爬坡辅助服务市场信息，包括但不限于市场出清结果、市场执行情况、各参与主体补偿费用等。各市场成员如对相关信息有异议，应在2个工作日内通过技术支持系统提交申请复核书面材料。电力调度机构在收到复核申请后2个工作日内，进行核实并予以答复。</w:t>
      </w:r>
    </w:p>
    <w:p w14:paraId="02409F8F">
      <w:pPr>
        <w:pStyle w:val="3"/>
        <w:pageBreakBefore w:val="0"/>
        <w:wordWrap/>
        <w:overflowPunct/>
        <w:topLinePunct w:val="0"/>
        <w:bidi w:val="0"/>
        <w:spacing w:line="560" w:lineRule="exact"/>
        <w:ind w:firstLine="640" w:firstLineChars="200"/>
        <w:jc w:val="both"/>
        <w:rPr>
          <w:rFonts w:hint="default" w:ascii="Times New Roman" w:hAnsi="Times New Roman" w:cs="Times New Roman"/>
          <w:sz w:val="32"/>
          <w:szCs w:val="32"/>
          <w:lang w:eastAsia="zh-CN"/>
        </w:rPr>
      </w:pPr>
      <w:r>
        <w:rPr>
          <w:rFonts w:hint="eastAsia" w:ascii="黑体" w:hAnsi="黑体" w:eastAsia="黑体" w:cs="Times New Roman"/>
          <w:snapToGrid/>
          <w:kern w:val="2"/>
          <w:sz w:val="32"/>
          <w:szCs w:val="32"/>
          <w:lang w:eastAsia="zh-CN"/>
        </w:rPr>
        <w:t>第二十九条</w:t>
      </w:r>
      <w:r>
        <w:rPr>
          <w:rFonts w:hint="eastAsia"/>
          <w:sz w:val="32"/>
          <w:szCs w:val="32"/>
          <w:lang w:val="en-US" w:eastAsia="zh-CN"/>
        </w:rPr>
        <w:t xml:space="preserve"> </w:t>
      </w:r>
      <w:r>
        <w:rPr>
          <w:rFonts w:hint="default" w:ascii="Times New Roman" w:hAnsi="Times New Roman" w:cs="Times New Roman"/>
          <w:sz w:val="32"/>
          <w:szCs w:val="32"/>
          <w:lang w:eastAsia="zh-CN"/>
        </w:rPr>
        <w:t>电力调度机构应在每月第3个工作日前将上月爬坡辅助服务市场月度信息推送电力交易机构，电力交易机构收到相关信息后，1个工作日内向所有主体公示。各市场成员如对月度信息有异议，应在3个工作日通过技术支持系统提交复核书面材料，电力调度机构在收到复核申请后2个工作日内进行核实并通过技术支持系统予以答复。公示结果确需调整的，重新履行公示流程。</w:t>
      </w:r>
    </w:p>
    <w:p w14:paraId="2B81E2F1">
      <w:pPr>
        <w:pStyle w:val="18"/>
        <w:pageBreakBefore w:val="0"/>
        <w:numPr>
          <w:ilvl w:val="0"/>
          <w:numId w:val="0"/>
        </w:numPr>
        <w:tabs>
          <w:tab w:val="clear" w:pos="1844"/>
        </w:tabs>
        <w:wordWrap/>
        <w:overflowPunct/>
        <w:topLinePunct w:val="0"/>
        <w:bidi w:val="0"/>
        <w:spacing w:line="560" w:lineRule="exact"/>
        <w:rPr>
          <w:b w:val="0"/>
        </w:rPr>
      </w:pPr>
      <w:r>
        <w:rPr>
          <w:rFonts w:hint="eastAsia"/>
          <w:b w:val="0"/>
        </w:rPr>
        <w:t>第六章  风险</w:t>
      </w:r>
      <w:r>
        <w:rPr>
          <w:b w:val="0"/>
        </w:rPr>
        <w:t>防控</w:t>
      </w:r>
    </w:p>
    <w:p w14:paraId="3FD217F3">
      <w:pPr>
        <w:pageBreakBefore w:val="0"/>
        <w:wordWrap/>
        <w:overflowPunct/>
        <w:topLinePunct w:val="0"/>
        <w:bidi w:val="0"/>
        <w:spacing w:line="560" w:lineRule="exact"/>
        <w:ind w:firstLine="640" w:firstLineChars="200"/>
        <w:jc w:val="both"/>
        <w:rPr>
          <w:rFonts w:eastAsia="仿宋_GB2312"/>
          <w:sz w:val="32"/>
          <w:szCs w:val="32"/>
        </w:rPr>
      </w:pPr>
      <w:r>
        <w:rPr>
          <w:rFonts w:hint="eastAsia" w:ascii="黑体" w:hAnsi="黑体" w:eastAsia="黑体"/>
          <w:sz w:val="32"/>
          <w:szCs w:val="32"/>
          <w:lang w:eastAsia="zh-CN"/>
        </w:rPr>
        <w:t>第二十三</w:t>
      </w:r>
      <w:r>
        <w:rPr>
          <w:rFonts w:ascii="黑体" w:hAnsi="黑体" w:eastAsia="黑体"/>
          <w:sz w:val="32"/>
          <w:szCs w:val="32"/>
          <w:lang w:eastAsia="zh-CN"/>
        </w:rPr>
        <w:t>条</w:t>
      </w:r>
      <w:r>
        <w:rPr>
          <w:rFonts w:hint="eastAsia" w:ascii="黑体" w:hAnsi="黑体" w:eastAsia="黑体"/>
          <w:sz w:val="32"/>
          <w:szCs w:val="32"/>
          <w:lang w:eastAsia="zh-CN"/>
        </w:rPr>
        <w:t xml:space="preserve"> </w:t>
      </w:r>
      <w:r>
        <w:rPr>
          <w:rFonts w:hint="eastAsia" w:eastAsia="仿宋_GB2312"/>
          <w:sz w:val="32"/>
          <w:szCs w:val="32"/>
          <w:lang w:eastAsia="zh-CN"/>
        </w:rPr>
        <w:t>按照“谁运营、谁防范，谁运营、谁监控”的原则，电力</w:t>
      </w:r>
      <w:r>
        <w:rPr>
          <w:rFonts w:eastAsia="仿宋_GB2312"/>
          <w:sz w:val="32"/>
          <w:szCs w:val="32"/>
          <w:lang w:eastAsia="zh-CN"/>
        </w:rPr>
        <w:t>调度机构</w:t>
      </w:r>
      <w:r>
        <w:rPr>
          <w:rFonts w:hint="eastAsia" w:eastAsia="仿宋_GB2312"/>
          <w:sz w:val="32"/>
          <w:szCs w:val="32"/>
          <w:lang w:eastAsia="zh-CN"/>
        </w:rPr>
        <w:t>负责履行爬坡</w:t>
      </w:r>
      <w:r>
        <w:rPr>
          <w:rFonts w:eastAsia="仿宋_GB2312"/>
          <w:sz w:val="32"/>
          <w:szCs w:val="32"/>
          <w:lang w:eastAsia="zh-CN"/>
        </w:rPr>
        <w:t>辅助服务</w:t>
      </w:r>
      <w:r>
        <w:rPr>
          <w:rFonts w:hint="eastAsia" w:eastAsia="仿宋_GB2312"/>
          <w:sz w:val="32"/>
          <w:szCs w:val="32"/>
          <w:lang w:eastAsia="zh-CN"/>
        </w:rPr>
        <w:t>市场监测和风险防控职责，采取</w:t>
      </w:r>
      <w:r>
        <w:rPr>
          <w:rFonts w:eastAsia="仿宋_GB2312"/>
          <w:sz w:val="32"/>
          <w:szCs w:val="32"/>
          <w:lang w:eastAsia="zh-CN"/>
        </w:rPr>
        <w:t>有效</w:t>
      </w:r>
      <w:r>
        <w:rPr>
          <w:rFonts w:hint="eastAsia" w:eastAsia="仿宋_GB2312"/>
          <w:sz w:val="32"/>
          <w:szCs w:val="32"/>
          <w:lang w:eastAsia="zh-CN"/>
        </w:rPr>
        <w:t>风险</w:t>
      </w:r>
      <w:r>
        <w:rPr>
          <w:rFonts w:eastAsia="仿宋_GB2312"/>
          <w:sz w:val="32"/>
          <w:szCs w:val="32"/>
          <w:lang w:eastAsia="zh-CN"/>
        </w:rPr>
        <w:t>防控措施。</w:t>
      </w:r>
      <w:r>
        <w:rPr>
          <w:rFonts w:hint="eastAsia" w:eastAsia="仿宋_GB2312"/>
          <w:sz w:val="32"/>
          <w:szCs w:val="32"/>
        </w:rPr>
        <w:t>市场成员应共同遵守并按规定落实风险防控职责。</w:t>
      </w:r>
    </w:p>
    <w:p w14:paraId="0EB5E5E5">
      <w:pPr>
        <w:pageBreakBefore w:val="0"/>
        <w:wordWrap/>
        <w:overflowPunct/>
        <w:topLinePunct w:val="0"/>
        <w:bidi w:val="0"/>
        <w:spacing w:line="560" w:lineRule="exact"/>
        <w:ind w:firstLine="640" w:firstLineChars="200"/>
        <w:rPr>
          <w:rFonts w:eastAsia="仿宋_GB2312"/>
          <w:sz w:val="32"/>
          <w:szCs w:val="32"/>
          <w:lang w:eastAsia="zh-CN"/>
        </w:rPr>
      </w:pPr>
      <w:r>
        <w:rPr>
          <w:rFonts w:hint="eastAsia" w:ascii="黑体" w:hAnsi="黑体" w:eastAsia="黑体" w:cs="微软雅黑"/>
          <w:sz w:val="32"/>
          <w:szCs w:val="32"/>
          <w:lang w:eastAsia="zh-CN"/>
        </w:rPr>
        <w:t>第三十一</w:t>
      </w:r>
      <w:r>
        <w:rPr>
          <w:rFonts w:ascii="黑体" w:hAnsi="黑体" w:eastAsia="黑体" w:cs="微软雅黑"/>
          <w:sz w:val="32"/>
          <w:szCs w:val="32"/>
          <w:lang w:eastAsia="zh-CN"/>
        </w:rPr>
        <w:t>条</w:t>
      </w:r>
      <w:r>
        <w:rPr>
          <w:rFonts w:hint="eastAsia" w:ascii="黑体" w:hAnsi="黑体" w:eastAsia="黑体" w:cs="微软雅黑"/>
          <w:sz w:val="32"/>
          <w:szCs w:val="32"/>
          <w:lang w:eastAsia="zh-CN"/>
        </w:rPr>
        <w:t xml:space="preserve"> </w:t>
      </w:r>
      <w:r>
        <w:rPr>
          <w:rFonts w:hint="eastAsia" w:ascii="微软雅黑" w:hAnsi="微软雅黑" w:eastAsia="仿宋_GB2312" w:cs="微软雅黑"/>
          <w:sz w:val="32"/>
          <w:szCs w:val="32"/>
          <w:lang w:eastAsia="zh-CN"/>
        </w:rPr>
        <w:t>爬坡</w:t>
      </w:r>
      <w:r>
        <w:rPr>
          <w:rFonts w:hint="eastAsia" w:eastAsia="仿宋_GB2312"/>
          <w:sz w:val="32"/>
          <w:szCs w:val="32"/>
          <w:lang w:eastAsia="zh-CN"/>
        </w:rPr>
        <w:t>辅助服务市场风险类型主要包括：</w:t>
      </w:r>
    </w:p>
    <w:p w14:paraId="069AD098">
      <w:pPr>
        <w:pageBreakBefore w:val="0"/>
        <w:wordWrap/>
        <w:overflowPunct/>
        <w:topLinePunct w:val="0"/>
        <w:bidi w:val="0"/>
        <w:spacing w:line="560" w:lineRule="exact"/>
        <w:ind w:firstLine="640" w:firstLineChars="200"/>
        <w:jc w:val="both"/>
        <w:rPr>
          <w:rFonts w:eastAsia="仿宋_GB2312"/>
          <w:sz w:val="32"/>
          <w:szCs w:val="32"/>
          <w:lang w:eastAsia="zh-CN"/>
        </w:rPr>
      </w:pPr>
      <w:r>
        <w:rPr>
          <w:rFonts w:hint="eastAsia" w:eastAsia="仿宋_GB2312"/>
          <w:sz w:val="32"/>
          <w:szCs w:val="32"/>
          <w:lang w:eastAsia="zh-CN"/>
        </w:rPr>
        <w:t>（一）爬坡辅助服务供需风险，指爬坡辅助服务供应紧张，较难满足系统爬坡需求的风险。</w:t>
      </w:r>
    </w:p>
    <w:p w14:paraId="4F9C4195">
      <w:pPr>
        <w:pageBreakBefore w:val="0"/>
        <w:wordWrap/>
        <w:overflowPunct/>
        <w:topLinePunct w:val="0"/>
        <w:bidi w:val="0"/>
        <w:spacing w:line="560" w:lineRule="exact"/>
        <w:ind w:firstLine="640" w:firstLineChars="200"/>
        <w:rPr>
          <w:rFonts w:eastAsia="仿宋_GB2312"/>
          <w:sz w:val="32"/>
          <w:szCs w:val="32"/>
          <w:lang w:eastAsia="zh-CN"/>
        </w:rPr>
      </w:pPr>
      <w:r>
        <w:rPr>
          <w:rFonts w:hint="eastAsia" w:eastAsia="仿宋_GB2312"/>
          <w:sz w:val="32"/>
          <w:szCs w:val="32"/>
          <w:lang w:eastAsia="zh-CN"/>
        </w:rPr>
        <w:t>（二）爬坡辅助服务市场力风险，指具有市场力的经营主体操纵爬坡辅助服务市场价格的风险。</w:t>
      </w:r>
    </w:p>
    <w:p w14:paraId="5B1758E5">
      <w:pPr>
        <w:pageBreakBefore w:val="0"/>
        <w:wordWrap/>
        <w:overflowPunct/>
        <w:topLinePunct w:val="0"/>
        <w:bidi w:val="0"/>
        <w:spacing w:line="560" w:lineRule="exact"/>
        <w:ind w:firstLine="640" w:firstLineChars="200"/>
        <w:rPr>
          <w:rFonts w:eastAsia="仿宋_GB2312"/>
          <w:sz w:val="32"/>
          <w:szCs w:val="32"/>
          <w:lang w:eastAsia="zh-CN"/>
        </w:rPr>
      </w:pPr>
      <w:r>
        <w:rPr>
          <w:rFonts w:hint="eastAsia" w:eastAsia="仿宋_GB2312"/>
          <w:sz w:val="32"/>
          <w:szCs w:val="32"/>
          <w:lang w:eastAsia="zh-CN"/>
        </w:rPr>
        <w:t>（三）爬坡辅助服务市场价格异常风险，指部分时段爬坡辅助服务市场价格持续偏高或偏低，波动范围或持续时间明显超过正常变化范围的风险。</w:t>
      </w:r>
    </w:p>
    <w:p w14:paraId="4EAED809">
      <w:pPr>
        <w:pageBreakBefore w:val="0"/>
        <w:wordWrap/>
        <w:overflowPunct/>
        <w:topLinePunct w:val="0"/>
        <w:bidi w:val="0"/>
        <w:spacing w:line="560" w:lineRule="exact"/>
        <w:ind w:firstLine="640" w:firstLineChars="200"/>
        <w:rPr>
          <w:rFonts w:eastAsia="仿宋_GB2312"/>
          <w:sz w:val="32"/>
          <w:szCs w:val="32"/>
          <w:lang w:eastAsia="zh-CN"/>
        </w:rPr>
      </w:pPr>
      <w:r>
        <w:rPr>
          <w:rFonts w:hint="eastAsia" w:eastAsia="仿宋_GB2312"/>
          <w:sz w:val="32"/>
          <w:szCs w:val="32"/>
          <w:lang w:eastAsia="zh-CN"/>
        </w:rPr>
        <w:t>（四）爬坡辅助服务市场技术支持系统风险，指支撑爬坡辅助服务市场的各类技术支持系统出现异常或不可用状态，影响市场正常运行的风险。</w:t>
      </w:r>
    </w:p>
    <w:p w14:paraId="7527E13E">
      <w:pPr>
        <w:pageBreakBefore w:val="0"/>
        <w:wordWrap/>
        <w:overflowPunct/>
        <w:topLinePunct w:val="0"/>
        <w:bidi w:val="0"/>
        <w:spacing w:line="560" w:lineRule="exact"/>
        <w:ind w:firstLine="640" w:firstLineChars="200"/>
        <w:rPr>
          <w:rFonts w:eastAsia="仿宋_GB2312"/>
          <w:sz w:val="32"/>
          <w:szCs w:val="32"/>
          <w:lang w:eastAsia="zh-CN"/>
        </w:rPr>
      </w:pPr>
      <w:r>
        <w:rPr>
          <w:rFonts w:hint="eastAsia" w:eastAsia="仿宋_GB2312"/>
          <w:sz w:val="32"/>
          <w:szCs w:val="32"/>
          <w:lang w:eastAsia="zh-CN"/>
        </w:rPr>
        <w:t>（五）网络安全风险，指因黑客、恶意代码等攻击、干扰和破坏等行为，造成被攻击系统及其数据的机密性、完整性和可用性被破坏的风险。</w:t>
      </w:r>
    </w:p>
    <w:p w14:paraId="07510B47">
      <w:pPr>
        <w:pageBreakBefore w:val="0"/>
        <w:wordWrap/>
        <w:overflowPunct/>
        <w:topLinePunct w:val="0"/>
        <w:bidi w:val="0"/>
        <w:spacing w:line="560" w:lineRule="exact"/>
        <w:ind w:firstLine="640" w:firstLineChars="200"/>
        <w:rPr>
          <w:rFonts w:eastAsia="仿宋_GB2312"/>
          <w:sz w:val="32"/>
          <w:szCs w:val="32"/>
          <w:lang w:eastAsia="zh-CN"/>
        </w:rPr>
      </w:pPr>
      <w:r>
        <w:rPr>
          <w:rFonts w:hint="eastAsia" w:ascii="黑体" w:hAnsi="黑体" w:eastAsia="黑体" w:cs="微软雅黑"/>
          <w:sz w:val="32"/>
          <w:szCs w:val="32"/>
          <w:lang w:eastAsia="zh-CN"/>
        </w:rPr>
        <w:t>第三十二</w:t>
      </w:r>
      <w:r>
        <w:rPr>
          <w:rFonts w:ascii="黑体" w:hAnsi="黑体" w:eastAsia="黑体" w:cs="微软雅黑"/>
          <w:sz w:val="32"/>
          <w:szCs w:val="32"/>
          <w:lang w:eastAsia="zh-CN"/>
        </w:rPr>
        <w:t>条</w:t>
      </w:r>
      <w:r>
        <w:rPr>
          <w:rFonts w:hint="eastAsia" w:ascii="黑体" w:hAnsi="黑体" w:eastAsia="黑体" w:cs="微软雅黑"/>
          <w:sz w:val="32"/>
          <w:szCs w:val="32"/>
          <w:lang w:val="en-US" w:eastAsia="zh-CN"/>
        </w:rPr>
        <w:t xml:space="preserve"> </w:t>
      </w:r>
      <w:r>
        <w:rPr>
          <w:rFonts w:hint="eastAsia" w:ascii="微软雅黑" w:hAnsi="微软雅黑" w:eastAsia="仿宋_GB2312" w:cs="微软雅黑"/>
          <w:sz w:val="32"/>
          <w:szCs w:val="32"/>
          <w:lang w:eastAsia="zh-CN"/>
        </w:rPr>
        <w:t>电力</w:t>
      </w:r>
      <w:r>
        <w:rPr>
          <w:rFonts w:eastAsia="仿宋_GB2312"/>
          <w:sz w:val="32"/>
          <w:szCs w:val="32"/>
          <w:lang w:eastAsia="zh-CN"/>
        </w:rPr>
        <w:t>调度机构</w:t>
      </w:r>
      <w:r>
        <w:rPr>
          <w:rFonts w:hint="eastAsia" w:eastAsia="仿宋_GB2312"/>
          <w:sz w:val="32"/>
          <w:szCs w:val="32"/>
          <w:lang w:eastAsia="zh-CN"/>
        </w:rPr>
        <w:t>按照有关程序对市场风险进行预警，并报告能源监管机构和省级价格、能源主管部门等有关部门。</w:t>
      </w:r>
    </w:p>
    <w:p w14:paraId="4C80BA00">
      <w:pPr>
        <w:pageBreakBefore w:val="0"/>
        <w:wordWrap/>
        <w:overflowPunct/>
        <w:topLinePunct w:val="0"/>
        <w:bidi w:val="0"/>
        <w:spacing w:line="560" w:lineRule="exact"/>
        <w:ind w:firstLine="640" w:firstLineChars="200"/>
        <w:rPr>
          <w:rFonts w:eastAsia="仿宋_GB2312"/>
          <w:sz w:val="32"/>
          <w:szCs w:val="32"/>
        </w:rPr>
      </w:pPr>
      <w:r>
        <w:rPr>
          <w:rFonts w:hint="eastAsia" w:ascii="黑体" w:hAnsi="黑体" w:eastAsia="黑体" w:cs="微软雅黑"/>
          <w:sz w:val="32"/>
          <w:szCs w:val="32"/>
          <w:lang w:eastAsia="zh-CN"/>
        </w:rPr>
        <w:t>第三十三</w:t>
      </w:r>
      <w:r>
        <w:rPr>
          <w:rFonts w:ascii="黑体" w:hAnsi="黑体" w:eastAsia="黑体" w:cs="微软雅黑"/>
          <w:sz w:val="32"/>
          <w:szCs w:val="32"/>
          <w:lang w:eastAsia="zh-CN"/>
        </w:rPr>
        <w:t>条</w:t>
      </w:r>
      <w:r>
        <w:rPr>
          <w:rFonts w:hint="eastAsia" w:ascii="黑体" w:hAnsi="黑体" w:eastAsia="黑体" w:cs="微软雅黑"/>
          <w:sz w:val="32"/>
          <w:szCs w:val="32"/>
          <w:lang w:val="en-US" w:eastAsia="zh-CN"/>
        </w:rPr>
        <w:t xml:space="preserve"> </w:t>
      </w:r>
      <w:r>
        <w:rPr>
          <w:rFonts w:hint="eastAsia" w:ascii="微软雅黑" w:hAnsi="微软雅黑" w:eastAsia="仿宋_GB2312" w:cs="微软雅黑"/>
          <w:sz w:val="32"/>
          <w:szCs w:val="32"/>
          <w:lang w:eastAsia="zh-CN"/>
        </w:rPr>
        <w:t>市场运营机构负责编制各类风险处置预</w:t>
      </w:r>
      <w:r>
        <w:rPr>
          <w:rFonts w:hint="eastAsia" w:eastAsia="仿宋_GB2312"/>
          <w:sz w:val="32"/>
          <w:szCs w:val="32"/>
          <w:lang w:eastAsia="zh-CN"/>
        </w:rPr>
        <w:t>案，包括风险级别、处置措施、各方职责等内容，并滚动修编。</w:t>
      </w:r>
      <w:r>
        <w:rPr>
          <w:rFonts w:hint="eastAsia" w:eastAsia="仿宋_GB2312"/>
          <w:sz w:val="32"/>
          <w:szCs w:val="32"/>
        </w:rPr>
        <w:t>风险处置预案经能源监管机构和省级价格、能源主管部门等有关部门同意后执行。</w:t>
      </w:r>
    </w:p>
    <w:p w14:paraId="261A9481">
      <w:pPr>
        <w:pageBreakBefore w:val="0"/>
        <w:wordWrap/>
        <w:overflowPunct/>
        <w:topLinePunct w:val="0"/>
        <w:bidi w:val="0"/>
        <w:spacing w:line="560" w:lineRule="exact"/>
        <w:ind w:firstLine="640" w:firstLineChars="200"/>
        <w:rPr>
          <w:lang w:eastAsia="zh-CN"/>
        </w:rPr>
      </w:pPr>
      <w:r>
        <w:rPr>
          <w:rFonts w:hint="eastAsia" w:ascii="黑体" w:hAnsi="黑体" w:eastAsia="黑体" w:cs="微软雅黑"/>
          <w:sz w:val="32"/>
          <w:szCs w:val="32"/>
          <w:lang w:eastAsia="zh-CN"/>
        </w:rPr>
        <w:t>第三十四</w:t>
      </w:r>
      <w:r>
        <w:rPr>
          <w:rFonts w:ascii="黑体" w:hAnsi="黑体" w:eastAsia="黑体" w:cs="微软雅黑"/>
          <w:sz w:val="32"/>
          <w:szCs w:val="32"/>
          <w:lang w:eastAsia="zh-CN"/>
        </w:rPr>
        <w:t>条</w:t>
      </w:r>
      <w:r>
        <w:rPr>
          <w:rFonts w:hint="eastAsia" w:ascii="黑体" w:hAnsi="黑体" w:eastAsia="黑体" w:cs="微软雅黑"/>
          <w:sz w:val="32"/>
          <w:szCs w:val="32"/>
          <w:lang w:val="en-US" w:eastAsia="zh-CN"/>
        </w:rPr>
        <w:t xml:space="preserve"> </w:t>
      </w:r>
      <w:r>
        <w:rPr>
          <w:rFonts w:hint="eastAsia" w:ascii="微软雅黑" w:hAnsi="微软雅黑" w:eastAsia="仿宋_GB2312" w:cs="微软雅黑"/>
          <w:sz w:val="32"/>
          <w:szCs w:val="32"/>
          <w:lang w:eastAsia="zh-CN"/>
        </w:rPr>
        <w:t>市场风险发生时，各方按照事前制定的有关预案执行，电力调度机构应按照安全第一的原则对市场进行应急处置，详细记录应急处置期间的有关情况，并报告能源监管机构和省级价格、能源主管部门。</w:t>
      </w:r>
    </w:p>
    <w:p w14:paraId="6EED5BF8">
      <w:pPr>
        <w:pageBreakBefore w:val="0"/>
        <w:wordWrap/>
        <w:overflowPunct/>
        <w:topLinePunct w:val="0"/>
        <w:bidi w:val="0"/>
        <w:spacing w:line="560" w:lineRule="exact"/>
        <w:jc w:val="center"/>
        <w:outlineLvl w:val="0"/>
        <w:rPr>
          <w:lang w:eastAsia="zh-CN"/>
        </w:rPr>
      </w:pPr>
      <w:r>
        <w:rPr>
          <w:rFonts w:ascii="黑体" w:hAnsi="黑体" w:eastAsia="黑体" w:cs="黑体"/>
          <w:spacing w:val="8"/>
          <w:sz w:val="31"/>
          <w:szCs w:val="31"/>
          <w:lang w:eastAsia="zh-CN"/>
        </w:rPr>
        <w:t>第</w:t>
      </w:r>
      <w:r>
        <w:rPr>
          <w:rFonts w:hint="eastAsia" w:ascii="黑体" w:hAnsi="黑体" w:eastAsia="黑体" w:cs="黑体"/>
          <w:spacing w:val="8"/>
          <w:sz w:val="31"/>
          <w:szCs w:val="31"/>
          <w:lang w:eastAsia="zh-CN"/>
        </w:rPr>
        <w:t>七</w:t>
      </w:r>
      <w:r>
        <w:rPr>
          <w:rFonts w:ascii="黑体" w:hAnsi="黑体" w:eastAsia="黑体" w:cs="黑体"/>
          <w:spacing w:val="8"/>
          <w:sz w:val="31"/>
          <w:szCs w:val="31"/>
          <w:lang w:eastAsia="zh-CN"/>
        </w:rPr>
        <w:t>章  市场监管</w:t>
      </w:r>
    </w:p>
    <w:p w14:paraId="0F30997B">
      <w:pPr>
        <w:pStyle w:val="3"/>
        <w:pageBreakBefore w:val="0"/>
        <w:wordWrap/>
        <w:overflowPunct/>
        <w:topLinePunct w:val="0"/>
        <w:bidi w:val="0"/>
        <w:spacing w:line="560" w:lineRule="exact"/>
        <w:ind w:firstLine="640" w:firstLineChars="200"/>
        <w:jc w:val="both"/>
        <w:rPr>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三十五</w:t>
      </w:r>
      <w:r>
        <w:rPr>
          <w:rFonts w:ascii="黑体" w:hAnsi="黑体" w:eastAsia="黑体" w:cs="Times New Roman"/>
          <w:snapToGrid/>
          <w:kern w:val="2"/>
          <w:sz w:val="32"/>
          <w:szCs w:val="32"/>
          <w:lang w:eastAsia="zh-CN"/>
        </w:rPr>
        <w:t>条</w:t>
      </w:r>
      <w:r>
        <w:rPr>
          <w:spacing w:val="9"/>
          <w:lang w:eastAsia="zh-CN"/>
        </w:rPr>
        <w:t xml:space="preserve"> </w:t>
      </w:r>
      <w:r>
        <w:rPr>
          <w:rFonts w:hint="eastAsia"/>
          <w:sz w:val="32"/>
          <w:szCs w:val="32"/>
          <w:lang w:eastAsia="zh-CN"/>
        </w:rPr>
        <w:t>江苏能源监管办对市场成员按照本</w:t>
      </w:r>
      <w:r>
        <w:rPr>
          <w:rFonts w:hint="eastAsia"/>
          <w:sz w:val="32"/>
          <w:szCs w:val="32"/>
          <w:lang w:val="en-US" w:eastAsia="zh-CN"/>
        </w:rPr>
        <w:t>细则</w:t>
      </w:r>
      <w:r>
        <w:rPr>
          <w:rFonts w:hint="eastAsia"/>
          <w:sz w:val="32"/>
          <w:szCs w:val="32"/>
          <w:lang w:eastAsia="zh-CN"/>
        </w:rPr>
        <w:t>开展江苏</w:t>
      </w:r>
      <w:r>
        <w:rPr>
          <w:sz w:val="32"/>
          <w:szCs w:val="32"/>
          <w:lang w:eastAsia="zh-CN"/>
        </w:rPr>
        <w:t>电力</w:t>
      </w:r>
      <w:r>
        <w:rPr>
          <w:rFonts w:hint="eastAsia"/>
          <w:sz w:val="32"/>
          <w:szCs w:val="32"/>
          <w:lang w:eastAsia="zh-CN"/>
        </w:rPr>
        <w:t>爬坡辅助服务交易的行为进行监管。对市场成员违反本</w:t>
      </w:r>
      <w:r>
        <w:rPr>
          <w:rFonts w:hint="eastAsia"/>
          <w:sz w:val="32"/>
          <w:szCs w:val="32"/>
          <w:lang w:val="en-US" w:eastAsia="zh-CN"/>
        </w:rPr>
        <w:t>细则</w:t>
      </w:r>
      <w:r>
        <w:rPr>
          <w:rFonts w:hint="eastAsia"/>
          <w:sz w:val="32"/>
          <w:szCs w:val="32"/>
          <w:lang w:eastAsia="zh-CN"/>
        </w:rPr>
        <w:t>的行为，依据《电力监管条例》《电力市场监管办法》等法律、法规进行处理。</w:t>
      </w:r>
    </w:p>
    <w:p w14:paraId="41DCB6EA">
      <w:pPr>
        <w:pStyle w:val="3"/>
        <w:pageBreakBefore w:val="0"/>
        <w:wordWrap/>
        <w:overflowPunct/>
        <w:topLinePunct w:val="0"/>
        <w:bidi w:val="0"/>
        <w:spacing w:line="560" w:lineRule="exact"/>
        <w:ind w:firstLine="640" w:firstLineChars="200"/>
        <w:jc w:val="both"/>
        <w:rPr>
          <w:rFonts w:ascii="Times New Roman" w:hAnsi="Times New Roman" w:cs="Times New Roman"/>
          <w:snapToGrid/>
          <w:kern w:val="2"/>
          <w:sz w:val="32"/>
          <w:szCs w:val="32"/>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三十六</w:t>
      </w:r>
      <w:r>
        <w:rPr>
          <w:rFonts w:ascii="黑体" w:hAnsi="黑体" w:eastAsia="黑体" w:cs="Times New Roman"/>
          <w:snapToGrid/>
          <w:kern w:val="2"/>
          <w:sz w:val="32"/>
          <w:szCs w:val="32"/>
          <w:lang w:eastAsia="zh-CN"/>
        </w:rPr>
        <w:t>条</w:t>
      </w:r>
      <w:r>
        <w:rPr>
          <w:spacing w:val="9"/>
          <w:lang w:eastAsia="zh-CN"/>
        </w:rPr>
        <w:t xml:space="preserve"> </w:t>
      </w:r>
      <w:r>
        <w:rPr>
          <w:rFonts w:hint="eastAsia"/>
          <w:sz w:val="32"/>
          <w:szCs w:val="32"/>
          <w:lang w:eastAsia="zh-CN"/>
        </w:rPr>
        <w:t>电力</w:t>
      </w:r>
      <w:r>
        <w:rPr>
          <w:sz w:val="32"/>
          <w:szCs w:val="32"/>
          <w:lang w:eastAsia="zh-CN"/>
        </w:rPr>
        <w:t>市场运营机构</w:t>
      </w:r>
      <w:r>
        <w:rPr>
          <w:rFonts w:hint="eastAsia"/>
          <w:sz w:val="32"/>
          <w:szCs w:val="32"/>
          <w:lang w:eastAsia="zh-CN"/>
        </w:rPr>
        <w:t>应做好爬坡辅助服务市场运行、价格、补偿费用与</w:t>
      </w:r>
      <w:r>
        <w:rPr>
          <w:sz w:val="32"/>
          <w:szCs w:val="32"/>
          <w:lang w:eastAsia="zh-CN"/>
        </w:rPr>
        <w:t>分摊</w:t>
      </w:r>
      <w:r>
        <w:rPr>
          <w:rFonts w:hint="eastAsia"/>
          <w:sz w:val="32"/>
          <w:szCs w:val="32"/>
          <w:lang w:eastAsia="zh-CN"/>
        </w:rPr>
        <w:t>传导等情况的监测分析，</w:t>
      </w:r>
      <w:r>
        <w:rPr>
          <w:sz w:val="32"/>
          <w:szCs w:val="32"/>
          <w:lang w:eastAsia="zh-CN"/>
        </w:rPr>
        <w:t>并</w:t>
      </w:r>
      <w:r>
        <w:rPr>
          <w:rFonts w:hint="eastAsia"/>
          <w:sz w:val="32"/>
          <w:szCs w:val="32"/>
          <w:lang w:eastAsia="zh-CN"/>
        </w:rPr>
        <w:t>于</w:t>
      </w:r>
      <w:r>
        <w:rPr>
          <w:sz w:val="32"/>
          <w:szCs w:val="32"/>
          <w:lang w:eastAsia="zh-CN"/>
        </w:rPr>
        <w:t>每月</w:t>
      </w:r>
      <w:r>
        <w:rPr>
          <w:rFonts w:hint="eastAsia"/>
          <w:sz w:val="32"/>
          <w:szCs w:val="32"/>
          <w:lang w:eastAsia="zh-CN"/>
        </w:rPr>
        <w:t>25日</w:t>
      </w:r>
      <w:r>
        <w:rPr>
          <w:sz w:val="32"/>
          <w:szCs w:val="32"/>
          <w:lang w:eastAsia="zh-CN"/>
        </w:rPr>
        <w:t>前</w:t>
      </w:r>
      <w:r>
        <w:rPr>
          <w:rFonts w:hint="eastAsia"/>
          <w:sz w:val="32"/>
          <w:szCs w:val="32"/>
          <w:lang w:eastAsia="zh-CN"/>
        </w:rPr>
        <w:t>向江苏</w:t>
      </w:r>
      <w:r>
        <w:rPr>
          <w:sz w:val="32"/>
          <w:szCs w:val="32"/>
          <w:lang w:eastAsia="zh-CN"/>
        </w:rPr>
        <w:t>能源监管办</w:t>
      </w:r>
      <w:r>
        <w:rPr>
          <w:rFonts w:hint="eastAsia"/>
          <w:sz w:val="32"/>
          <w:szCs w:val="32"/>
          <w:lang w:eastAsia="zh-CN"/>
        </w:rPr>
        <w:t>和省级价格、能源主管部门等报送辅助服务交易的价格、费用、各类经营主体收益和分摊情况。</w:t>
      </w:r>
    </w:p>
    <w:p w14:paraId="3A0C1864">
      <w:pPr>
        <w:pStyle w:val="3"/>
        <w:pageBreakBefore w:val="0"/>
        <w:wordWrap/>
        <w:overflowPunct/>
        <w:topLinePunct w:val="0"/>
        <w:bidi w:val="0"/>
        <w:spacing w:line="560" w:lineRule="exact"/>
        <w:ind w:firstLine="640" w:firstLineChars="200"/>
        <w:jc w:val="both"/>
        <w:rPr>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三十七</w:t>
      </w:r>
      <w:r>
        <w:rPr>
          <w:rFonts w:ascii="黑体" w:hAnsi="黑体" w:eastAsia="黑体" w:cs="Times New Roman"/>
          <w:snapToGrid/>
          <w:kern w:val="2"/>
          <w:sz w:val="32"/>
          <w:szCs w:val="32"/>
          <w:lang w:eastAsia="zh-CN"/>
        </w:rPr>
        <w:t>条</w:t>
      </w:r>
      <w:r>
        <w:rPr>
          <w:spacing w:val="6"/>
          <w:lang w:eastAsia="zh-CN"/>
        </w:rPr>
        <w:t xml:space="preserve"> </w:t>
      </w:r>
      <w:r>
        <w:rPr>
          <w:rFonts w:hint="eastAsia"/>
          <w:bCs/>
          <w:sz w:val="32"/>
          <w:szCs w:val="32"/>
          <w:lang w:eastAsia="zh-CN"/>
        </w:rPr>
        <w:t>市场</w:t>
      </w:r>
      <w:r>
        <w:rPr>
          <w:bCs/>
          <w:sz w:val="32"/>
          <w:szCs w:val="32"/>
          <w:lang w:eastAsia="zh-CN"/>
        </w:rPr>
        <w:t>成员</w:t>
      </w:r>
      <w:r>
        <w:rPr>
          <w:rFonts w:hint="eastAsia"/>
          <w:bCs/>
          <w:sz w:val="32"/>
          <w:szCs w:val="32"/>
          <w:lang w:eastAsia="zh-CN"/>
        </w:rPr>
        <w:t>对爬坡辅助服务交易存在争议时，可向电力市场运营机构提出申诉意见，市场运营机构在规定期限内完成核实并予以答复。市场</w:t>
      </w:r>
      <w:r>
        <w:rPr>
          <w:bCs/>
          <w:sz w:val="32"/>
          <w:szCs w:val="32"/>
          <w:lang w:eastAsia="zh-CN"/>
        </w:rPr>
        <w:t>成员</w:t>
      </w:r>
      <w:r>
        <w:rPr>
          <w:rFonts w:hint="eastAsia"/>
          <w:bCs/>
          <w:sz w:val="32"/>
          <w:szCs w:val="32"/>
          <w:lang w:eastAsia="zh-CN"/>
        </w:rPr>
        <w:t>认为仍有争议的，可通过市场管理委员会调解，也可提交江苏</w:t>
      </w:r>
      <w:r>
        <w:rPr>
          <w:bCs/>
          <w:sz w:val="32"/>
          <w:szCs w:val="32"/>
          <w:lang w:eastAsia="zh-CN"/>
        </w:rPr>
        <w:t>能源监管办</w:t>
      </w:r>
      <w:r>
        <w:rPr>
          <w:rFonts w:hint="eastAsia"/>
          <w:bCs/>
          <w:sz w:val="32"/>
          <w:szCs w:val="32"/>
          <w:lang w:eastAsia="zh-CN"/>
        </w:rPr>
        <w:t>依法协调；协调不成的可通过仲裁、司法等途径解决争议。</w:t>
      </w:r>
    </w:p>
    <w:p w14:paraId="32EE3C51">
      <w:pPr>
        <w:pageBreakBefore w:val="0"/>
        <w:wordWrap/>
        <w:overflowPunct/>
        <w:topLinePunct w:val="0"/>
        <w:bidi w:val="0"/>
        <w:spacing w:line="560" w:lineRule="exact"/>
        <w:jc w:val="center"/>
        <w:outlineLvl w:val="0"/>
        <w:rPr>
          <w:lang w:eastAsia="zh-CN"/>
        </w:rPr>
      </w:pPr>
      <w:r>
        <w:rPr>
          <w:rFonts w:ascii="黑体" w:hAnsi="黑体" w:eastAsia="黑体" w:cs="黑体"/>
          <w:spacing w:val="1"/>
          <w:sz w:val="31"/>
          <w:szCs w:val="31"/>
          <w:lang w:eastAsia="zh-CN"/>
        </w:rPr>
        <w:t>第</w:t>
      </w:r>
      <w:r>
        <w:rPr>
          <w:rFonts w:hint="eastAsia" w:ascii="黑体" w:hAnsi="黑体" w:eastAsia="黑体" w:cs="黑体"/>
          <w:spacing w:val="1"/>
          <w:sz w:val="31"/>
          <w:szCs w:val="31"/>
          <w:lang w:eastAsia="zh-CN"/>
        </w:rPr>
        <w:t>八</w:t>
      </w:r>
      <w:r>
        <w:rPr>
          <w:rFonts w:ascii="黑体" w:hAnsi="黑体" w:eastAsia="黑体" w:cs="黑体"/>
          <w:spacing w:val="1"/>
          <w:sz w:val="31"/>
          <w:szCs w:val="31"/>
          <w:lang w:eastAsia="zh-CN"/>
        </w:rPr>
        <w:t>章</w:t>
      </w:r>
      <w:r>
        <w:rPr>
          <w:rFonts w:ascii="黑体" w:hAnsi="黑体" w:eastAsia="黑体" w:cs="黑体"/>
          <w:spacing w:val="36"/>
          <w:sz w:val="31"/>
          <w:szCs w:val="31"/>
          <w:lang w:eastAsia="zh-CN"/>
        </w:rPr>
        <w:t xml:space="preserve"> </w:t>
      </w:r>
      <w:r>
        <w:rPr>
          <w:rFonts w:ascii="黑体" w:hAnsi="黑体" w:eastAsia="黑体" w:cs="黑体"/>
          <w:spacing w:val="1"/>
          <w:sz w:val="31"/>
          <w:szCs w:val="31"/>
          <w:lang w:eastAsia="zh-CN"/>
        </w:rPr>
        <w:t>附则</w:t>
      </w:r>
    </w:p>
    <w:p w14:paraId="485B07E7">
      <w:pPr>
        <w:pStyle w:val="12"/>
        <w:keepNext w:val="0"/>
        <w:keepLines w:val="0"/>
        <w:pageBreakBefore w:val="0"/>
        <w:widowControl/>
        <w:numPr>
          <w:ilvl w:val="0"/>
          <w:numId w:val="0"/>
        </w:numPr>
        <w:kinsoku/>
        <w:wordWrap/>
        <w:overflowPunct/>
        <w:topLinePunct w:val="0"/>
        <w:autoSpaceDE/>
        <w:autoSpaceDN/>
        <w:bidi w:val="0"/>
        <w:adjustRightInd/>
        <w:snapToGrid/>
        <w:spacing w:after="120" w:line="560" w:lineRule="exact"/>
        <w:ind w:firstLine="640" w:firstLineChars="200"/>
        <w:textAlignment w:val="auto"/>
        <w:rPr>
          <w:lang w:eastAsia="zh-CN"/>
        </w:rPr>
      </w:pPr>
      <w:r>
        <w:rPr>
          <w:rFonts w:ascii="黑体" w:hAnsi="黑体" w:eastAsia="黑体" w:cs="Times New Roman"/>
          <w:snapToGrid/>
          <w:kern w:val="2"/>
          <w:sz w:val="32"/>
          <w:szCs w:val="32"/>
          <w:lang w:eastAsia="zh-CN"/>
        </w:rPr>
        <w:t>第</w:t>
      </w:r>
      <w:r>
        <w:rPr>
          <w:rFonts w:hint="eastAsia" w:ascii="黑体" w:hAnsi="黑体" w:eastAsia="黑体" w:cs="Times New Roman"/>
          <w:snapToGrid/>
          <w:kern w:val="2"/>
          <w:sz w:val="32"/>
          <w:szCs w:val="32"/>
          <w:lang w:eastAsia="zh-CN"/>
        </w:rPr>
        <w:t>三</w:t>
      </w:r>
      <w:r>
        <w:rPr>
          <w:rFonts w:ascii="黑体" w:hAnsi="黑体" w:eastAsia="黑体" w:cs="Times New Roman"/>
          <w:snapToGrid/>
          <w:kern w:val="2"/>
          <w:sz w:val="32"/>
          <w:szCs w:val="32"/>
          <w:lang w:eastAsia="zh-CN"/>
        </w:rPr>
        <w:t>十</w:t>
      </w:r>
      <w:r>
        <w:rPr>
          <w:rFonts w:hint="eastAsia" w:ascii="黑体" w:hAnsi="黑体" w:eastAsia="黑体" w:cs="Times New Roman"/>
          <w:snapToGrid/>
          <w:kern w:val="2"/>
          <w:sz w:val="32"/>
          <w:szCs w:val="32"/>
          <w:lang w:eastAsia="zh-CN"/>
        </w:rPr>
        <w:t>八</w:t>
      </w:r>
      <w:r>
        <w:rPr>
          <w:rFonts w:ascii="黑体" w:hAnsi="黑体" w:eastAsia="黑体" w:cs="Times New Roman"/>
          <w:snapToGrid/>
          <w:kern w:val="2"/>
          <w:sz w:val="32"/>
          <w:szCs w:val="32"/>
          <w:lang w:eastAsia="zh-CN"/>
        </w:rPr>
        <w:t>条</w:t>
      </w:r>
      <w:r>
        <w:rPr>
          <w:spacing w:val="10"/>
          <w:lang w:eastAsia="zh-CN"/>
        </w:rPr>
        <w:t xml:space="preserve"> </w:t>
      </w:r>
      <w:r>
        <w:rPr>
          <w:rFonts w:eastAsia="仿宋_GB2312"/>
          <w:sz w:val="32"/>
          <w:szCs w:val="32"/>
        </w:rPr>
        <w:t>自2026年</w:t>
      </w:r>
      <w:r>
        <w:rPr>
          <w:rFonts w:hint="eastAsia" w:eastAsia="仿宋_GB2312"/>
          <w:sz w:val="32"/>
          <w:szCs w:val="32"/>
          <w:lang w:val="en-US" w:eastAsia="zh-CN"/>
        </w:rPr>
        <w:t>×</w:t>
      </w:r>
      <w:r>
        <w:rPr>
          <w:rFonts w:eastAsia="仿宋_GB2312"/>
          <w:sz w:val="32"/>
          <w:szCs w:val="32"/>
        </w:rPr>
        <w:t>月1日起</w:t>
      </w:r>
      <w:r>
        <w:rPr>
          <w:rFonts w:hint="eastAsia" w:eastAsia="仿宋_GB2312"/>
          <w:sz w:val="32"/>
          <w:szCs w:val="32"/>
          <w:lang w:eastAsia="zh-CN"/>
        </w:rPr>
        <w:t>按本细则启动模拟调电试运行，</w:t>
      </w:r>
      <w:r>
        <w:rPr>
          <w:rFonts w:hint="eastAsia" w:eastAsia="仿宋_GB2312"/>
          <w:sz w:val="32"/>
          <w:szCs w:val="32"/>
          <w:lang w:val="en-US" w:eastAsia="zh-CN"/>
        </w:rPr>
        <w:t>202×年×月1日起启动结算试运行</w:t>
      </w:r>
      <w:r>
        <w:rPr>
          <w:rFonts w:eastAsia="仿宋_GB2312"/>
          <w:sz w:val="32"/>
          <w:szCs w:val="32"/>
        </w:rPr>
        <w:t>。</w:t>
      </w:r>
    </w:p>
    <w:sectPr>
      <w:footerReference r:id="rId3" w:type="default"/>
      <w:pgSz w:w="11906" w:h="16839"/>
      <w:pgMar w:top="1431" w:right="1473" w:bottom="1705" w:left="1596" w:header="0" w:footer="145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9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304134"/>
    </w:sdtPr>
    <w:sdtEndPr>
      <w:rPr>
        <w:rFonts w:ascii="Times New Roman" w:hAnsi="Times New Roman" w:cs="Times New Roman"/>
        <w:sz w:val="24"/>
      </w:rPr>
    </w:sdtEndPr>
    <w:sdtContent>
      <w:p w14:paraId="1DE6B922">
        <w:pPr>
          <w:pStyle w:val="5"/>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PAGE   \* MERGEFORMAT</w:instrText>
        </w:r>
        <w:r>
          <w:rPr>
            <w:rFonts w:ascii="Times New Roman" w:hAnsi="Times New Roman" w:cs="Times New Roman"/>
            <w:sz w:val="24"/>
          </w:rPr>
          <w:fldChar w:fldCharType="separate"/>
        </w:r>
        <w:r>
          <w:rPr>
            <w:rFonts w:ascii="Times New Roman" w:hAnsi="Times New Roman" w:cs="Times New Roman"/>
            <w:sz w:val="24"/>
            <w:lang w:val="zh-CN" w:eastAsia="zh-CN"/>
          </w:rPr>
          <w:t>-</w:t>
        </w:r>
        <w:r>
          <w:rPr>
            <w:rFonts w:ascii="Times New Roman" w:hAnsi="Times New Roman" w:cs="Times New Roman"/>
            <w:sz w:val="24"/>
          </w:rPr>
          <w:t xml:space="preserve"> 2 -</w:t>
        </w:r>
        <w:r>
          <w:rPr>
            <w:rFonts w:ascii="Times New Roman" w:hAnsi="Times New Roman" w:cs="Times New Roman"/>
            <w:sz w:val="24"/>
          </w:rPr>
          <w:fldChar w:fldCharType="end"/>
        </w:r>
      </w:p>
    </w:sdtContent>
  </w:sdt>
  <w:p w14:paraId="4B04DFB7">
    <w:pPr>
      <w:spacing w:line="181" w:lineRule="auto"/>
      <w:ind w:right="1"/>
      <w:jc w:val="right"/>
      <w:rPr>
        <w:rFonts w:ascii="Times New Roman" w:hAnsi="Times New Roman" w:eastAsia="Times New Roman"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C062D"/>
    <w:multiLevelType w:val="multilevel"/>
    <w:tmpl w:val="0ABC062D"/>
    <w:lvl w:ilvl="0" w:tentative="0">
      <w:start w:val="1"/>
      <w:numFmt w:val="chineseCountingThousand"/>
      <w:pStyle w:val="18"/>
      <w:lvlText w:val="第%1章"/>
      <w:lvlJc w:val="left"/>
      <w:pPr>
        <w:ind w:left="420" w:hanging="420"/>
      </w:pPr>
      <w:rPr>
        <w:rFonts w:hint="default"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B656BC8"/>
    <w:multiLevelType w:val="singleLevel"/>
    <w:tmpl w:val="5B656BC8"/>
    <w:lvl w:ilvl="0" w:tentative="0">
      <w:start w:val="1"/>
      <w:numFmt w:val="chineseCountingThousand"/>
      <w:pStyle w:val="17"/>
      <w:suff w:val="space"/>
      <w:lvlText w:val="第%1章"/>
      <w:lvlJc w:val="center"/>
      <w:pPr>
        <w:ind w:left="3823" w:firstLine="288"/>
      </w:pPr>
      <w:rPr>
        <w:rFonts w:hint="eastAsia" w:ascii="黑体" w:hAnsi="黑体" w:eastAsia="黑体" w:cs="宋体"/>
        <w:b w:val="0"/>
        <w:sz w:val="32"/>
        <w:szCs w:val="32"/>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ZGFlYzM0YmI2YmRiNDY0YjRmMWM1NDFhZWVmZjAifQ=="/>
  </w:docVars>
  <w:rsids>
    <w:rsidRoot w:val="00172A27"/>
    <w:rsid w:val="000240C6"/>
    <w:rsid w:val="0007403F"/>
    <w:rsid w:val="00076304"/>
    <w:rsid w:val="001408C9"/>
    <w:rsid w:val="001857C7"/>
    <w:rsid w:val="001F1B03"/>
    <w:rsid w:val="001F5AEE"/>
    <w:rsid w:val="00292AF3"/>
    <w:rsid w:val="00303609"/>
    <w:rsid w:val="00340D79"/>
    <w:rsid w:val="003B3968"/>
    <w:rsid w:val="003E0378"/>
    <w:rsid w:val="00423FCF"/>
    <w:rsid w:val="00485C27"/>
    <w:rsid w:val="00496810"/>
    <w:rsid w:val="004B0368"/>
    <w:rsid w:val="00530C9B"/>
    <w:rsid w:val="00583C54"/>
    <w:rsid w:val="005E7B90"/>
    <w:rsid w:val="006729D8"/>
    <w:rsid w:val="00676A44"/>
    <w:rsid w:val="0069052D"/>
    <w:rsid w:val="006F41C4"/>
    <w:rsid w:val="007111B4"/>
    <w:rsid w:val="00716E3D"/>
    <w:rsid w:val="00731E65"/>
    <w:rsid w:val="00734D9B"/>
    <w:rsid w:val="0077422A"/>
    <w:rsid w:val="00780C58"/>
    <w:rsid w:val="0079572F"/>
    <w:rsid w:val="007E38CD"/>
    <w:rsid w:val="007E5AA1"/>
    <w:rsid w:val="007F6944"/>
    <w:rsid w:val="0080075B"/>
    <w:rsid w:val="008074B6"/>
    <w:rsid w:val="008307F5"/>
    <w:rsid w:val="008604BF"/>
    <w:rsid w:val="00870BB8"/>
    <w:rsid w:val="008A4458"/>
    <w:rsid w:val="008E606E"/>
    <w:rsid w:val="00916AE0"/>
    <w:rsid w:val="00920B8E"/>
    <w:rsid w:val="00934017"/>
    <w:rsid w:val="00962186"/>
    <w:rsid w:val="009E7E6A"/>
    <w:rsid w:val="00A058F0"/>
    <w:rsid w:val="00A2648E"/>
    <w:rsid w:val="00A42A16"/>
    <w:rsid w:val="00A862B6"/>
    <w:rsid w:val="00AF3DF6"/>
    <w:rsid w:val="00B71798"/>
    <w:rsid w:val="00B807BC"/>
    <w:rsid w:val="00B9352C"/>
    <w:rsid w:val="00C35278"/>
    <w:rsid w:val="00C45A35"/>
    <w:rsid w:val="00C473C9"/>
    <w:rsid w:val="00C64FCC"/>
    <w:rsid w:val="00C97328"/>
    <w:rsid w:val="00E21F8B"/>
    <w:rsid w:val="00F47479"/>
    <w:rsid w:val="00F6330D"/>
    <w:rsid w:val="00F9688A"/>
    <w:rsid w:val="00FA75B8"/>
    <w:rsid w:val="00FD03C4"/>
    <w:rsid w:val="027D03CD"/>
    <w:rsid w:val="034C3657"/>
    <w:rsid w:val="047168CE"/>
    <w:rsid w:val="04A27045"/>
    <w:rsid w:val="0609796C"/>
    <w:rsid w:val="063C2D21"/>
    <w:rsid w:val="06E710CA"/>
    <w:rsid w:val="070523DC"/>
    <w:rsid w:val="072B4019"/>
    <w:rsid w:val="076E7848"/>
    <w:rsid w:val="0842480A"/>
    <w:rsid w:val="08B873EA"/>
    <w:rsid w:val="08EE04EE"/>
    <w:rsid w:val="096A2CEB"/>
    <w:rsid w:val="09AF2373"/>
    <w:rsid w:val="0ABF0200"/>
    <w:rsid w:val="0BA9231E"/>
    <w:rsid w:val="0BB75BE2"/>
    <w:rsid w:val="0BE36134"/>
    <w:rsid w:val="0C4548C9"/>
    <w:rsid w:val="0C6B3E95"/>
    <w:rsid w:val="0D045E82"/>
    <w:rsid w:val="0D3170CD"/>
    <w:rsid w:val="0DFF47ED"/>
    <w:rsid w:val="0E0B7D94"/>
    <w:rsid w:val="0E305C94"/>
    <w:rsid w:val="0E325320"/>
    <w:rsid w:val="0F7651D1"/>
    <w:rsid w:val="0FB105F3"/>
    <w:rsid w:val="101406B4"/>
    <w:rsid w:val="108742C6"/>
    <w:rsid w:val="109A64A3"/>
    <w:rsid w:val="10CD74E6"/>
    <w:rsid w:val="10D619E2"/>
    <w:rsid w:val="10E103FD"/>
    <w:rsid w:val="110C33B6"/>
    <w:rsid w:val="118B102F"/>
    <w:rsid w:val="12BE3627"/>
    <w:rsid w:val="136866C7"/>
    <w:rsid w:val="14455A1B"/>
    <w:rsid w:val="14663D4F"/>
    <w:rsid w:val="14966AFD"/>
    <w:rsid w:val="14F90946"/>
    <w:rsid w:val="15146A9E"/>
    <w:rsid w:val="15F335E7"/>
    <w:rsid w:val="17EE6392"/>
    <w:rsid w:val="18CD5621"/>
    <w:rsid w:val="18E45469"/>
    <w:rsid w:val="1B193AF0"/>
    <w:rsid w:val="1BF57261"/>
    <w:rsid w:val="1C315911"/>
    <w:rsid w:val="1DED6B6E"/>
    <w:rsid w:val="1E917345"/>
    <w:rsid w:val="1E917E41"/>
    <w:rsid w:val="1EBB0A1A"/>
    <w:rsid w:val="1ED936F7"/>
    <w:rsid w:val="1F3E7FCE"/>
    <w:rsid w:val="1F617C88"/>
    <w:rsid w:val="1F62533A"/>
    <w:rsid w:val="1FD8624A"/>
    <w:rsid w:val="20E35710"/>
    <w:rsid w:val="21172A93"/>
    <w:rsid w:val="226F4E10"/>
    <w:rsid w:val="23277639"/>
    <w:rsid w:val="24DD1775"/>
    <w:rsid w:val="25D57ED5"/>
    <w:rsid w:val="267809F5"/>
    <w:rsid w:val="26CC6413"/>
    <w:rsid w:val="27133AE9"/>
    <w:rsid w:val="27267F57"/>
    <w:rsid w:val="27A209C9"/>
    <w:rsid w:val="282B354E"/>
    <w:rsid w:val="28EB2F1B"/>
    <w:rsid w:val="28FC31F4"/>
    <w:rsid w:val="29483D95"/>
    <w:rsid w:val="296B4E5F"/>
    <w:rsid w:val="29BD492F"/>
    <w:rsid w:val="29DC54F5"/>
    <w:rsid w:val="2A046567"/>
    <w:rsid w:val="2A3A5217"/>
    <w:rsid w:val="2A585953"/>
    <w:rsid w:val="2A6F3441"/>
    <w:rsid w:val="2BF0783F"/>
    <w:rsid w:val="2E6A12AA"/>
    <w:rsid w:val="2F0B211E"/>
    <w:rsid w:val="30FD464F"/>
    <w:rsid w:val="313C69A2"/>
    <w:rsid w:val="317C35BE"/>
    <w:rsid w:val="31BC606A"/>
    <w:rsid w:val="32084909"/>
    <w:rsid w:val="32D85255"/>
    <w:rsid w:val="34612475"/>
    <w:rsid w:val="346843DD"/>
    <w:rsid w:val="34873898"/>
    <w:rsid w:val="35233739"/>
    <w:rsid w:val="35682C17"/>
    <w:rsid w:val="35EB0151"/>
    <w:rsid w:val="35FC3911"/>
    <w:rsid w:val="362168B8"/>
    <w:rsid w:val="362D189A"/>
    <w:rsid w:val="36BF3346"/>
    <w:rsid w:val="37470FEB"/>
    <w:rsid w:val="37626529"/>
    <w:rsid w:val="37785C00"/>
    <w:rsid w:val="37805E51"/>
    <w:rsid w:val="378275C8"/>
    <w:rsid w:val="37881683"/>
    <w:rsid w:val="381B27FE"/>
    <w:rsid w:val="38795776"/>
    <w:rsid w:val="396226AE"/>
    <w:rsid w:val="39C66799"/>
    <w:rsid w:val="3BAE5737"/>
    <w:rsid w:val="3C2272D4"/>
    <w:rsid w:val="3C636A50"/>
    <w:rsid w:val="3CAD1521"/>
    <w:rsid w:val="3D670055"/>
    <w:rsid w:val="3DB51586"/>
    <w:rsid w:val="3E176979"/>
    <w:rsid w:val="3F051B12"/>
    <w:rsid w:val="3F910FCA"/>
    <w:rsid w:val="3FB61B1D"/>
    <w:rsid w:val="40BA6FD9"/>
    <w:rsid w:val="41230F8E"/>
    <w:rsid w:val="412B24C8"/>
    <w:rsid w:val="420741C8"/>
    <w:rsid w:val="423C34EE"/>
    <w:rsid w:val="42A33B1C"/>
    <w:rsid w:val="42E37931"/>
    <w:rsid w:val="434E4CDD"/>
    <w:rsid w:val="44083C3F"/>
    <w:rsid w:val="44F95E3B"/>
    <w:rsid w:val="450E51C7"/>
    <w:rsid w:val="45D93CF8"/>
    <w:rsid w:val="466864BF"/>
    <w:rsid w:val="47552A56"/>
    <w:rsid w:val="475C2EE5"/>
    <w:rsid w:val="4790421D"/>
    <w:rsid w:val="48150DBC"/>
    <w:rsid w:val="487B4BF3"/>
    <w:rsid w:val="48AE740B"/>
    <w:rsid w:val="4929243F"/>
    <w:rsid w:val="4971160B"/>
    <w:rsid w:val="49856C0B"/>
    <w:rsid w:val="499D5DF6"/>
    <w:rsid w:val="49CE5345"/>
    <w:rsid w:val="49E05F84"/>
    <w:rsid w:val="4A965231"/>
    <w:rsid w:val="4B81506C"/>
    <w:rsid w:val="4BD95797"/>
    <w:rsid w:val="4CE57330"/>
    <w:rsid w:val="4D203F78"/>
    <w:rsid w:val="4E770814"/>
    <w:rsid w:val="4E8C20EA"/>
    <w:rsid w:val="4F5F12EA"/>
    <w:rsid w:val="4F9F2BDA"/>
    <w:rsid w:val="4FFC74F7"/>
    <w:rsid w:val="50206121"/>
    <w:rsid w:val="514D3C33"/>
    <w:rsid w:val="51923640"/>
    <w:rsid w:val="520D0FB1"/>
    <w:rsid w:val="52A669E9"/>
    <w:rsid w:val="52F65D71"/>
    <w:rsid w:val="539D1272"/>
    <w:rsid w:val="542720D3"/>
    <w:rsid w:val="55EE2EA8"/>
    <w:rsid w:val="56BA5F0E"/>
    <w:rsid w:val="56C105BC"/>
    <w:rsid w:val="57551B67"/>
    <w:rsid w:val="57B179A7"/>
    <w:rsid w:val="57D24779"/>
    <w:rsid w:val="5809221B"/>
    <w:rsid w:val="587A6C75"/>
    <w:rsid w:val="58A81ABF"/>
    <w:rsid w:val="58E86CB2"/>
    <w:rsid w:val="58F27384"/>
    <w:rsid w:val="59374B66"/>
    <w:rsid w:val="5A4D48E6"/>
    <w:rsid w:val="5B3C3794"/>
    <w:rsid w:val="5B583E29"/>
    <w:rsid w:val="5B834EB3"/>
    <w:rsid w:val="5BBD4572"/>
    <w:rsid w:val="5D4C2B41"/>
    <w:rsid w:val="5E2D226E"/>
    <w:rsid w:val="5EA11532"/>
    <w:rsid w:val="5F2B3828"/>
    <w:rsid w:val="5F2D2C93"/>
    <w:rsid w:val="5F626614"/>
    <w:rsid w:val="5F7456AD"/>
    <w:rsid w:val="5FA07B37"/>
    <w:rsid w:val="5FBD4CF9"/>
    <w:rsid w:val="5FC20079"/>
    <w:rsid w:val="60676441"/>
    <w:rsid w:val="615838CB"/>
    <w:rsid w:val="627E55B4"/>
    <w:rsid w:val="63D00091"/>
    <w:rsid w:val="650C6EA7"/>
    <w:rsid w:val="65312DB1"/>
    <w:rsid w:val="654B52F3"/>
    <w:rsid w:val="658B7159"/>
    <w:rsid w:val="65981FAB"/>
    <w:rsid w:val="6639016F"/>
    <w:rsid w:val="66F7131F"/>
    <w:rsid w:val="6793565D"/>
    <w:rsid w:val="68703BF0"/>
    <w:rsid w:val="68A64B6E"/>
    <w:rsid w:val="68EF4B15"/>
    <w:rsid w:val="68FB16C9"/>
    <w:rsid w:val="69794D27"/>
    <w:rsid w:val="6A6D6254"/>
    <w:rsid w:val="6B31413D"/>
    <w:rsid w:val="6C152462"/>
    <w:rsid w:val="6C3F4DF0"/>
    <w:rsid w:val="6CE6660C"/>
    <w:rsid w:val="6CE8644B"/>
    <w:rsid w:val="6D8317F1"/>
    <w:rsid w:val="6E074113"/>
    <w:rsid w:val="6E281F48"/>
    <w:rsid w:val="6E2B7342"/>
    <w:rsid w:val="6EE64C0C"/>
    <w:rsid w:val="6F597AF8"/>
    <w:rsid w:val="703016DC"/>
    <w:rsid w:val="724E79B7"/>
    <w:rsid w:val="728A4E7D"/>
    <w:rsid w:val="728E539F"/>
    <w:rsid w:val="72E27CA9"/>
    <w:rsid w:val="74064E51"/>
    <w:rsid w:val="746257BA"/>
    <w:rsid w:val="75AE1BAE"/>
    <w:rsid w:val="760D57BF"/>
    <w:rsid w:val="761F01EE"/>
    <w:rsid w:val="768D1C0C"/>
    <w:rsid w:val="76B36614"/>
    <w:rsid w:val="76B47E61"/>
    <w:rsid w:val="76CA6BC2"/>
    <w:rsid w:val="77532894"/>
    <w:rsid w:val="778E1DCF"/>
    <w:rsid w:val="77924AC2"/>
    <w:rsid w:val="77A21C72"/>
    <w:rsid w:val="790E0FE8"/>
    <w:rsid w:val="799534B7"/>
    <w:rsid w:val="79C051A8"/>
    <w:rsid w:val="7A161615"/>
    <w:rsid w:val="7A8A5C54"/>
    <w:rsid w:val="7AC62A22"/>
    <w:rsid w:val="7AE55D78"/>
    <w:rsid w:val="7B483564"/>
    <w:rsid w:val="7B8C7705"/>
    <w:rsid w:val="7CD25B26"/>
    <w:rsid w:val="7E425862"/>
    <w:rsid w:val="7E61605D"/>
    <w:rsid w:val="7F25708B"/>
    <w:rsid w:val="7F2B4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16"/>
    <w:qFormat/>
    <w:uiPriority w:val="9"/>
    <w:pPr>
      <w:keepNext/>
      <w:keepLines/>
      <w:widowControl w:val="0"/>
      <w:kinsoku/>
      <w:autoSpaceDE/>
      <w:autoSpaceDN/>
      <w:adjustRightInd/>
      <w:snapToGrid/>
      <w:spacing w:before="340" w:after="330" w:line="578" w:lineRule="auto"/>
      <w:jc w:val="both"/>
      <w:textAlignment w:val="auto"/>
      <w:outlineLvl w:val="0"/>
    </w:pPr>
    <w:rPr>
      <w:rFonts w:ascii="Times New Roman" w:hAnsi="Times New Roman" w:eastAsia="宋体" w:cs="Times New Roman"/>
      <w:b/>
      <w:bCs/>
      <w:snapToGrid/>
      <w:color w:val="auto"/>
      <w:kern w:val="44"/>
      <w:sz w:val="44"/>
      <w:szCs w:val="4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_GB2312" w:hAnsi="仿宋_GB2312" w:eastAsia="仿宋_GB2312" w:cs="仿宋_GB2312"/>
      <w:sz w:val="31"/>
      <w:szCs w:val="31"/>
    </w:rPr>
  </w:style>
  <w:style w:type="paragraph" w:styleId="4">
    <w:name w:val="Balloon Text"/>
    <w:basedOn w:val="1"/>
    <w:link w:val="13"/>
    <w:qFormat/>
    <w:uiPriority w:val="0"/>
    <w:rPr>
      <w:sz w:val="18"/>
      <w:szCs w:val="18"/>
    </w:rPr>
  </w:style>
  <w:style w:type="paragraph" w:styleId="5">
    <w:name w:val="footer"/>
    <w:basedOn w:val="1"/>
    <w:link w:val="15"/>
    <w:qFormat/>
    <w:uiPriority w:val="99"/>
    <w:pPr>
      <w:tabs>
        <w:tab w:val="center" w:pos="4153"/>
        <w:tab w:val="right" w:pos="8306"/>
      </w:tabs>
    </w:pPr>
    <w:rPr>
      <w:sz w:val="18"/>
      <w:szCs w:val="18"/>
    </w:rPr>
  </w:style>
  <w:style w:type="paragraph" w:styleId="6">
    <w:name w:val="header"/>
    <w:basedOn w:val="1"/>
    <w:link w:val="14"/>
    <w:qFormat/>
    <w:uiPriority w:val="0"/>
    <w:pPr>
      <w:pBdr>
        <w:bottom w:val="single" w:color="auto" w:sz="6" w:space="1"/>
      </w:pBdr>
      <w:tabs>
        <w:tab w:val="center" w:pos="4153"/>
        <w:tab w:val="right" w:pos="8306"/>
      </w:tabs>
      <w:jc w:val="center"/>
    </w:pPr>
    <w:rPr>
      <w:sz w:val="18"/>
      <w:szCs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_GB2312" w:hAnsi="仿宋_GB2312" w:eastAsia="仿宋_GB2312" w:cs="仿宋_GB2312"/>
      <w:sz w:val="31"/>
      <w:szCs w:val="31"/>
    </w:rPr>
  </w:style>
  <w:style w:type="character" w:customStyle="1" w:styleId="11">
    <w:name w:val="列出段落 字符"/>
    <w:link w:val="12"/>
    <w:qFormat/>
    <w:uiPriority w:val="99"/>
  </w:style>
  <w:style w:type="paragraph" w:styleId="12">
    <w:name w:val="List Paragraph"/>
    <w:basedOn w:val="1"/>
    <w:link w:val="11"/>
    <w:qFormat/>
    <w:uiPriority w:val="34"/>
    <w:pPr>
      <w:widowControl w:val="0"/>
      <w:kinsoku/>
      <w:autoSpaceDE/>
      <w:autoSpaceDN/>
      <w:adjustRightInd/>
      <w:snapToGrid/>
      <w:ind w:firstLine="420" w:firstLineChars="200"/>
      <w:jc w:val="both"/>
      <w:textAlignment w:val="auto"/>
    </w:pPr>
    <w:rPr>
      <w:rFonts w:ascii="Times New Roman" w:hAnsi="Times New Roman" w:eastAsia="宋体" w:cs="Times New Roman"/>
      <w:snapToGrid/>
      <w:color w:val="auto"/>
      <w:sz w:val="20"/>
      <w:szCs w:val="20"/>
      <w:lang w:eastAsia="zh-CN"/>
    </w:rPr>
  </w:style>
  <w:style w:type="character" w:customStyle="1" w:styleId="13">
    <w:name w:val="批注框文本 字符"/>
    <w:basedOn w:val="8"/>
    <w:link w:val="4"/>
    <w:qFormat/>
    <w:uiPriority w:val="0"/>
    <w:rPr>
      <w:rFonts w:ascii="Arial" w:hAnsi="Arial" w:eastAsia="Arial" w:cs="Arial"/>
      <w:snapToGrid w:val="0"/>
      <w:color w:val="000000"/>
      <w:sz w:val="18"/>
      <w:szCs w:val="18"/>
      <w:lang w:eastAsia="en-US"/>
    </w:rPr>
  </w:style>
  <w:style w:type="character" w:customStyle="1" w:styleId="14">
    <w:name w:val="页眉 字符"/>
    <w:basedOn w:val="8"/>
    <w:link w:val="6"/>
    <w:qFormat/>
    <w:uiPriority w:val="0"/>
    <w:rPr>
      <w:rFonts w:ascii="Arial" w:hAnsi="Arial" w:eastAsia="Arial" w:cs="Arial"/>
      <w:snapToGrid w:val="0"/>
      <w:color w:val="000000"/>
      <w:sz w:val="18"/>
      <w:szCs w:val="18"/>
      <w:lang w:eastAsia="en-US"/>
    </w:rPr>
  </w:style>
  <w:style w:type="character" w:customStyle="1" w:styleId="15">
    <w:name w:val="页脚 字符"/>
    <w:basedOn w:val="8"/>
    <w:link w:val="5"/>
    <w:qFormat/>
    <w:uiPriority w:val="99"/>
    <w:rPr>
      <w:rFonts w:ascii="Arial" w:hAnsi="Arial" w:eastAsia="Arial" w:cs="Arial"/>
      <w:snapToGrid w:val="0"/>
      <w:color w:val="000000"/>
      <w:sz w:val="18"/>
      <w:szCs w:val="18"/>
      <w:lang w:eastAsia="en-US"/>
    </w:rPr>
  </w:style>
  <w:style w:type="character" w:customStyle="1" w:styleId="16">
    <w:name w:val="标题 1 字符"/>
    <w:basedOn w:val="8"/>
    <w:link w:val="2"/>
    <w:qFormat/>
    <w:uiPriority w:val="9"/>
    <w:rPr>
      <w:b/>
      <w:bCs/>
      <w:kern w:val="44"/>
      <w:sz w:val="44"/>
      <w:szCs w:val="44"/>
    </w:rPr>
  </w:style>
  <w:style w:type="paragraph" w:customStyle="1" w:styleId="17">
    <w:name w:val="规则正文"/>
    <w:basedOn w:val="12"/>
    <w:qFormat/>
    <w:uiPriority w:val="0"/>
    <w:pPr>
      <w:numPr>
        <w:ilvl w:val="0"/>
        <w:numId w:val="1"/>
      </w:numPr>
      <w:tabs>
        <w:tab w:val="left" w:pos="1844"/>
      </w:tabs>
      <w:spacing w:line="360" w:lineRule="auto"/>
      <w:ind w:left="0" w:firstLine="0" w:firstLineChars="0"/>
    </w:pPr>
    <w:rPr>
      <w:rFonts w:ascii="等线" w:hAnsi="等线" w:eastAsia="等线"/>
      <w:kern w:val="2"/>
      <w:sz w:val="28"/>
      <w:szCs w:val="24"/>
    </w:rPr>
  </w:style>
  <w:style w:type="paragraph" w:customStyle="1" w:styleId="18">
    <w:name w:val="章节标题"/>
    <w:basedOn w:val="2"/>
    <w:next w:val="2"/>
    <w:qFormat/>
    <w:uiPriority w:val="0"/>
    <w:pPr>
      <w:numPr>
        <w:ilvl w:val="0"/>
        <w:numId w:val="2"/>
      </w:numPr>
      <w:tabs>
        <w:tab w:val="left" w:pos="1844"/>
      </w:tabs>
      <w:spacing w:before="0" w:after="0" w:line="640" w:lineRule="exact"/>
      <w:jc w:val="center"/>
    </w:pPr>
    <w:rPr>
      <w:rFonts w:hAnsi="黑体" w:eastAsia="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6654</Words>
  <Characters>6871</Characters>
  <Lines>49</Lines>
  <Paragraphs>14</Paragraphs>
  <TotalTime>33</TotalTime>
  <ScaleCrop>false</ScaleCrop>
  <LinksUpToDate>false</LinksUpToDate>
  <CharactersWithSpaces>6926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2025-12-08T07:59:00Z</dcterms:created>
  <dc:creator>Administrator</dc:creator>
  <cp:lastModifiedBy>WPS_1684803448</cp:lastModifiedBy>
  <cp:lastPrinted>2026-09-01T01:21:00Z</cp:lastPrinted>
  <dcterms:modified xsi:type="dcterms:W3CDTF">2026-09-09T08:06:14Z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2025-02-11T16:00:40Z</vt:filetime>
  </property>
  <property fmtid="{D5CDD505-2E9C-101B-9397-08002B2CF9AE}" pid="4" name="KSOTemplateDocerSaveRecord">
    <vt:lpwstr>eyJoZGlkIjoiMTQxNTE5ZWQ5OWYyMzY5MGU5MTk4MGNjMDU2OTYxMzkiLCJ1c2VySWQiOiIxNDk0NTg3ODIyIn0=</vt:lpwstr>
  </property>
  <property fmtid="{D5CDD505-2E9C-101B-9397-08002B2CF9AE}" pid="5" name="KSOProductBuildVer">
    <vt:lpwstr>2052-12.1.0.28505</vt:lpwstr>
  </property>
  <property fmtid="{D5CDD505-2E9C-101B-9397-08002B2CF9AE}" pid="6" name="ICV">
    <vt:lpwstr>7E0225F13AA94449A6E8CA1E7B886E76_13</vt:lpwstr>
  </property>
</Properties>
</file>