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D9" w:rsidRDefault="00CF346C">
      <w:pPr>
        <w:spacing w:line="560" w:lineRule="exact"/>
        <w:rPr>
          <w:rFonts w:ascii="黑体" w:eastAsia="黑体" w:hAnsi="黑体" w:cs="黑体"/>
          <w:kern w:val="0"/>
          <w:sz w:val="32"/>
          <w:szCs w:val="32"/>
          <w:lang/>
        </w:rPr>
      </w:pPr>
      <w:r>
        <w:rPr>
          <w:rFonts w:ascii="黑体" w:eastAsia="黑体" w:hAnsi="黑体" w:cs="黑体" w:hint="eastAsia"/>
          <w:kern w:val="0"/>
          <w:sz w:val="32"/>
          <w:szCs w:val="32"/>
          <w:lang/>
        </w:rPr>
        <w:t>附件</w:t>
      </w:r>
      <w:r>
        <w:rPr>
          <w:rFonts w:ascii="黑体" w:eastAsia="黑体" w:hAnsi="黑体" w:cs="黑体" w:hint="eastAsia"/>
          <w:kern w:val="0"/>
          <w:sz w:val="32"/>
          <w:szCs w:val="32"/>
          <w:lang/>
        </w:rPr>
        <w:t>1</w:t>
      </w:r>
    </w:p>
    <w:p w:rsidR="005770D9" w:rsidRDefault="005770D9">
      <w:pPr>
        <w:spacing w:line="560" w:lineRule="exact"/>
        <w:rPr>
          <w:rFonts w:ascii="方正小标宋_GBK" w:eastAsia="方正小标宋_GBK" w:hAnsi="方正小标宋_GBK" w:cs="方正小标宋_GBK"/>
          <w:kern w:val="0"/>
          <w:sz w:val="44"/>
          <w:szCs w:val="44"/>
          <w:lang/>
        </w:rPr>
      </w:pPr>
    </w:p>
    <w:p w:rsidR="005770D9" w:rsidRDefault="00CF346C">
      <w:pPr>
        <w:spacing w:line="560" w:lineRule="exact"/>
        <w:jc w:val="center"/>
        <w:rPr>
          <w:rFonts w:ascii="方正小标宋_GBK" w:eastAsia="方正小标宋_GBK" w:hAnsi="方正小标宋_GBK" w:cs="方正小标宋_GBK"/>
          <w:kern w:val="0"/>
          <w:sz w:val="44"/>
          <w:szCs w:val="44"/>
          <w:lang/>
        </w:rPr>
      </w:pPr>
      <w:r>
        <w:rPr>
          <w:rFonts w:ascii="方正小标宋_GBK" w:eastAsia="方正小标宋_GBK" w:hAnsi="方正小标宋_GBK" w:cs="方正小标宋_GBK" w:hint="eastAsia"/>
          <w:kern w:val="0"/>
          <w:sz w:val="44"/>
          <w:szCs w:val="44"/>
          <w:lang/>
        </w:rPr>
        <w:t>关于落实国家能源局提升新能源和新型</w:t>
      </w:r>
    </w:p>
    <w:p w:rsidR="005770D9" w:rsidRDefault="00CF346C">
      <w:pPr>
        <w:spacing w:line="560" w:lineRule="exact"/>
        <w:jc w:val="center"/>
        <w:rPr>
          <w:rFonts w:ascii="方正小标宋_GBK" w:eastAsia="方正小标宋_GBK" w:hAnsi="方正小标宋_GBK" w:cs="方正小标宋_GBK"/>
          <w:kern w:val="0"/>
          <w:sz w:val="44"/>
          <w:szCs w:val="44"/>
          <w:lang/>
        </w:rPr>
      </w:pPr>
      <w:r>
        <w:rPr>
          <w:rFonts w:ascii="方正小标宋_GBK" w:eastAsia="方正小标宋_GBK" w:hAnsi="方正小标宋_GBK" w:cs="方正小标宋_GBK" w:hint="eastAsia"/>
          <w:kern w:val="0"/>
          <w:sz w:val="44"/>
          <w:szCs w:val="44"/>
          <w:lang/>
        </w:rPr>
        <w:t>并网主体涉网安全能力</w:t>
      </w:r>
      <w:r>
        <w:rPr>
          <w:rFonts w:ascii="方正小标宋_GBK" w:eastAsia="方正小标宋_GBK" w:hAnsi="方正小标宋_GBK" w:cs="方正小标宋_GBK" w:hint="eastAsia"/>
          <w:kern w:val="0"/>
          <w:sz w:val="44"/>
          <w:szCs w:val="44"/>
          <w:lang/>
        </w:rPr>
        <w:t xml:space="preserve"> </w:t>
      </w:r>
      <w:r>
        <w:rPr>
          <w:rFonts w:ascii="方正小标宋_GBK" w:eastAsia="方正小标宋_GBK" w:hAnsi="方正小标宋_GBK" w:cs="方正小标宋_GBK" w:hint="eastAsia"/>
          <w:kern w:val="0"/>
          <w:sz w:val="44"/>
          <w:szCs w:val="44"/>
          <w:lang/>
        </w:rPr>
        <w:t>服务新型电力系统</w:t>
      </w:r>
    </w:p>
    <w:p w:rsidR="005770D9" w:rsidRDefault="00CF346C">
      <w:pPr>
        <w:spacing w:line="560" w:lineRule="exact"/>
        <w:jc w:val="center"/>
        <w:rPr>
          <w:rFonts w:ascii="方正小标宋_GBK" w:eastAsia="方正小标宋_GBK" w:hAnsi="方正小标宋_GBK" w:cs="方正小标宋_GBK"/>
          <w:kern w:val="0"/>
          <w:sz w:val="44"/>
          <w:szCs w:val="44"/>
          <w:lang/>
        </w:rPr>
      </w:pPr>
      <w:r>
        <w:rPr>
          <w:rFonts w:ascii="方正小标宋_GBK" w:eastAsia="方正小标宋_GBK" w:hAnsi="方正小标宋_GBK" w:cs="方正小标宋_GBK" w:hint="eastAsia"/>
          <w:kern w:val="0"/>
          <w:sz w:val="44"/>
          <w:szCs w:val="44"/>
          <w:lang/>
        </w:rPr>
        <w:t>高质量发展有关要求的通知</w:t>
      </w:r>
    </w:p>
    <w:p w:rsidR="005770D9" w:rsidRDefault="00CF346C">
      <w:pPr>
        <w:spacing w:line="560" w:lineRule="exact"/>
        <w:jc w:val="center"/>
        <w:rPr>
          <w:rFonts w:ascii="方正小标宋_GBK" w:eastAsia="方正小标宋_GBK" w:hAnsi="方正小标宋_GBK" w:cs="方正小标宋_GBK"/>
          <w:kern w:val="0"/>
          <w:sz w:val="44"/>
          <w:szCs w:val="44"/>
          <w:lang/>
        </w:rPr>
      </w:pPr>
      <w:r>
        <w:rPr>
          <w:rFonts w:ascii="楷体_GB2312" w:eastAsia="楷体_GB2312" w:hAnsi="楷体_GB2312" w:cs="楷体_GB2312" w:hint="eastAsia"/>
          <w:kern w:val="0"/>
          <w:sz w:val="44"/>
          <w:szCs w:val="44"/>
          <w:lang/>
        </w:rPr>
        <w:t>（征求意见稿）</w:t>
      </w:r>
    </w:p>
    <w:p w:rsidR="005770D9" w:rsidRDefault="005770D9">
      <w:pPr>
        <w:spacing w:line="560" w:lineRule="exact"/>
      </w:pPr>
    </w:p>
    <w:p w:rsidR="005770D9" w:rsidRDefault="00CF346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w:t>
      </w:r>
    </w:p>
    <w:p w:rsidR="005770D9" w:rsidRDefault="00CF346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为深入贯彻落实党的二十届三中全会精神和习近平总书记关于安全生产重要指示精神，持续推动“四个革命、一个合作”能源安全新战略走深走实，落实</w:t>
      </w:r>
      <w:r>
        <w:rPr>
          <w:rFonts w:ascii="仿宋_GB2312" w:eastAsia="仿宋_GB2312" w:hAnsi="仿宋_GB2312" w:cs="仿宋_GB2312" w:hint="eastAsia"/>
          <w:sz w:val="32"/>
          <w:szCs w:val="32"/>
        </w:rPr>
        <w:t>《国家能源局关于提升新能源和新型并网主体涉网安全能力服务新型电力系统高质量发展的通知》（国能发安全</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）《国家能源局关于印发〈分布式光伏发电开发建设管理办法〉的通知》（国能发新能规〔</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号）</w:t>
      </w:r>
      <w:r>
        <w:rPr>
          <w:rFonts w:ascii="仿宋_GB2312" w:eastAsia="仿宋_GB2312" w:hAnsi="仿宋_GB2312" w:cs="仿宋_GB2312" w:hint="eastAsia"/>
          <w:sz w:val="32"/>
          <w:szCs w:val="32"/>
        </w:rPr>
        <w:t>要求，进一步提升江苏新能源和新型并网主体涉网安全能力，强化现有安全管理规范标准的刚性执行，现就有关事项通知如下。</w:t>
      </w:r>
    </w:p>
    <w:p w:rsidR="005770D9" w:rsidRDefault="00CF34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一、准确把握涉网安全管理工作的总体要求</w:t>
      </w:r>
    </w:p>
    <w:p w:rsidR="005770D9" w:rsidRDefault="00CF346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（一）高度重视涉网安全管理工作。</w:t>
      </w:r>
      <w:r>
        <w:rPr>
          <w:rFonts w:ascii="仿宋_GB2312" w:eastAsia="仿宋_GB2312" w:hAnsi="仿宋_GB2312" w:cs="仿宋_GB2312" w:hint="eastAsia"/>
          <w:sz w:val="32"/>
          <w:szCs w:val="32"/>
        </w:rPr>
        <w:t>加强新能源和新型并网主体涉网安全管理，保障其安全稳定运行，是服务新型电力系统高质量发展的基础和前提，并网主体一旦发生并网安全事故，既损害当前利益，更给行业长期发展带来不利影响。各单位要紧扣新形势下能源转型和电力保供目标，以高度的责任感和使命感，创新安全管理模式，有效管控安全风</w:t>
      </w:r>
      <w:r>
        <w:rPr>
          <w:rFonts w:ascii="仿宋_GB2312" w:eastAsia="仿宋_GB2312" w:hAnsi="仿宋_GB2312" w:cs="仿宋_GB2312" w:hint="eastAsia"/>
          <w:sz w:val="32"/>
          <w:szCs w:val="32"/>
        </w:rPr>
        <w:lastRenderedPageBreak/>
        <w:t>险，坚决防范并网安全事故发生。</w:t>
      </w:r>
    </w:p>
    <w:p w:rsidR="005770D9" w:rsidRDefault="00CF346C">
      <w:pPr>
        <w:spacing w:line="560" w:lineRule="exact"/>
        <w:ind w:firstLineChars="200" w:firstLine="640"/>
        <w:rPr>
          <w:rFonts w:ascii="黑体" w:eastAsia="黑体" w:hAnsi="黑体" w:cs="黑体"/>
          <w:sz w:val="32"/>
          <w:szCs w:val="32"/>
        </w:rPr>
      </w:pPr>
      <w:r>
        <w:rPr>
          <w:rFonts w:ascii="楷体_GB2312" w:eastAsia="楷体_GB2312" w:hAnsi="楷体_GB2312" w:cs="楷体_GB2312" w:hint="eastAsia"/>
          <w:sz w:val="32"/>
          <w:szCs w:val="32"/>
        </w:rPr>
        <w:t>（二）压实各方涉网安全管理责任。</w:t>
      </w:r>
      <w:r>
        <w:rPr>
          <w:rFonts w:ascii="仿宋_GB2312" w:eastAsia="仿宋_GB2312" w:hAnsi="仿宋_GB2312" w:cs="仿宋_GB2312" w:hint="eastAsia"/>
          <w:sz w:val="32"/>
          <w:szCs w:val="32"/>
        </w:rPr>
        <w:t>电力调度机构要加强对新能源和新型并网主体统一调度管理，依据有关法律法规和标准规范，做好涉网二次系统和监控系统的技术监督工作。电网企业要加强电</w:t>
      </w:r>
      <w:r>
        <w:rPr>
          <w:rFonts w:ascii="仿宋_GB2312" w:eastAsia="仿宋_GB2312" w:hAnsi="仿宋_GB2312" w:cs="仿宋_GB2312" w:hint="eastAsia"/>
          <w:sz w:val="32"/>
          <w:szCs w:val="32"/>
        </w:rPr>
        <w:t>网安全风险管控，为并网主体安全并网提供保障。新能源和新型并网主体的业主（单位）要严格履行主体责任，接受电力调度机构统一调度，执行涉网安全管理规章制度，满足系统安全稳定运行需求。</w:t>
      </w:r>
    </w:p>
    <w:p w:rsidR="005770D9" w:rsidRDefault="00CF34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二、切实提升涉网安全性能</w:t>
      </w:r>
    </w:p>
    <w:p w:rsidR="005770D9" w:rsidRDefault="00CF346C">
      <w:pPr>
        <w:spacing w:line="560" w:lineRule="exact"/>
        <w:ind w:firstLineChars="200" w:firstLine="640"/>
        <w:rPr>
          <w:rFonts w:ascii="仿宋_GB2312" w:eastAsia="仿宋_GB2312" w:hAnsi="仿宋_GB2312" w:cs="仿宋_GB2312"/>
          <w:color w:val="FF0000"/>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）优化涉网管理服务。</w:t>
      </w:r>
      <w:r>
        <w:rPr>
          <w:rFonts w:ascii="仿宋_GB2312" w:eastAsia="仿宋_GB2312" w:hAnsi="仿宋_GB2312" w:cs="仿宋_GB2312" w:hint="eastAsia"/>
          <w:sz w:val="32"/>
          <w:szCs w:val="32"/>
        </w:rPr>
        <w:t>电力调度机构要加强对并网主体的专业培训，帮助并网主体提升技术人员专业水平和工作能力。前置参与并网主体的设计、建设过程，畅通沟通渠道，及时指导并网主体解决遇到的涉网技术问题。并网前，电力调度机构要严格审核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及以上电压等级的新能源和新型并网主体提供的涉网性能型式试验报告，报告应由具备</w:t>
      </w:r>
      <w:r>
        <w:rPr>
          <w:rFonts w:ascii="仿宋_GB2312" w:eastAsia="仿宋_GB2312" w:hAnsi="仿宋_GB2312" w:cs="仿宋_GB2312" w:hint="eastAsia"/>
          <w:sz w:val="32"/>
          <w:szCs w:val="32"/>
        </w:rPr>
        <w:t>CNAS/CMA</w:t>
      </w:r>
      <w:r>
        <w:rPr>
          <w:rFonts w:ascii="仿宋_GB2312" w:eastAsia="仿宋_GB2312" w:hAnsi="仿宋_GB2312" w:cs="仿宋_GB2312" w:hint="eastAsia"/>
          <w:sz w:val="32"/>
          <w:szCs w:val="32"/>
        </w:rPr>
        <w:t>资质（中国合格评定国家认可委员会认可或中国计量认证）或同等资质能力的第三方机构出具，审核同意后方可并网；接入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以下电压等级的分布式光伏需向电力调度机构提供逆变器等重要设备的涉网性能型式试验报告。</w:t>
      </w:r>
      <w:r>
        <w:rPr>
          <w:rFonts w:ascii="仿宋_GB2312" w:eastAsia="仿宋_GB2312" w:hAnsi="仿宋_GB2312" w:cs="仿宋_GB2312" w:hint="eastAsia"/>
          <w:sz w:val="32"/>
          <w:szCs w:val="32"/>
        </w:rPr>
        <w:t>并网后</w:t>
      </w:r>
      <w:r>
        <w:rPr>
          <w:rFonts w:ascii="仿宋_GB2312" w:eastAsia="仿宋_GB2312" w:hAnsi="仿宋_GB2312" w:cs="仿宋_GB2312" w:hint="eastAsia"/>
          <w:sz w:val="32"/>
          <w:szCs w:val="32"/>
        </w:rPr>
        <w:t>，电力调度机构要强化运行过程中的涉网性能评估，及时提出改进要求，确保涉网性能稳定。</w:t>
      </w:r>
    </w:p>
    <w:p w:rsidR="005770D9" w:rsidRDefault="00CF346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）推动并网主体友好并网。</w:t>
      </w:r>
      <w:r>
        <w:rPr>
          <w:rFonts w:ascii="仿宋_GB2312" w:eastAsia="仿宋_GB2312" w:hAnsi="仿宋_GB2312" w:cs="仿宋_GB2312" w:hint="eastAsia"/>
          <w:sz w:val="32"/>
          <w:szCs w:val="32"/>
        </w:rPr>
        <w:t>新能源和新型并网主体的业主（单位）要对照《电力系统安全稳定导则》（</w:t>
      </w:r>
      <w:r>
        <w:rPr>
          <w:rFonts w:ascii="仿宋_GB2312" w:eastAsia="仿宋_GB2312" w:hAnsi="仿宋_GB2312" w:cs="仿宋_GB2312" w:hint="eastAsia"/>
          <w:sz w:val="32"/>
          <w:szCs w:val="32"/>
        </w:rPr>
        <w:t>GB 38755-2019</w:t>
      </w:r>
      <w:r>
        <w:rPr>
          <w:rFonts w:ascii="仿宋_GB2312" w:eastAsia="仿宋_GB2312" w:hAnsi="仿宋_GB2312" w:cs="仿宋_GB2312" w:hint="eastAsia"/>
          <w:sz w:val="32"/>
          <w:szCs w:val="32"/>
        </w:rPr>
        <w:t>）、《电力系统网源协调技术导则》（</w:t>
      </w:r>
      <w:r>
        <w:rPr>
          <w:rFonts w:ascii="仿宋_GB2312" w:eastAsia="仿宋_GB2312" w:hAnsi="仿宋_GB2312" w:cs="仿宋_GB2312" w:hint="eastAsia"/>
          <w:sz w:val="32"/>
          <w:szCs w:val="32"/>
        </w:rPr>
        <w:t xml:space="preserve">GB/T </w:t>
      </w:r>
      <w:r>
        <w:rPr>
          <w:rFonts w:ascii="仿宋_GB2312" w:eastAsia="仿宋_GB2312" w:hAnsi="仿宋_GB2312" w:cs="仿宋_GB2312" w:hint="eastAsia"/>
          <w:sz w:val="32"/>
          <w:szCs w:val="32"/>
        </w:rPr>
        <w:lastRenderedPageBreak/>
        <w:t>40594-2021</w:t>
      </w:r>
      <w:r>
        <w:rPr>
          <w:rFonts w:ascii="仿宋_GB2312" w:eastAsia="仿宋_GB2312" w:hAnsi="仿宋_GB2312" w:cs="仿宋_GB2312" w:hint="eastAsia"/>
          <w:sz w:val="32"/>
          <w:szCs w:val="32"/>
        </w:rPr>
        <w:t>）以及风电、光伏、储能相关的国家标准及行业标准等规定要求，组织实施工程项目建设，保证继电保护、安全稳定控制装置、通信设备等二次系统配置符合要求，避免“带病入网”。其中，远端汇集（大基地等）的集中式新能源应具备快速调压、抑制宽频振荡等支撑能力，必</w:t>
      </w:r>
      <w:r>
        <w:rPr>
          <w:rFonts w:ascii="仿宋_GB2312" w:eastAsia="仿宋_GB2312" w:hAnsi="仿宋_GB2312" w:cs="仿宋_GB2312" w:hint="eastAsia"/>
          <w:sz w:val="32"/>
          <w:szCs w:val="32"/>
        </w:rPr>
        <w:t>要时配置调相机等装置，防止大规模脱网。</w:t>
      </w:r>
    </w:p>
    <w:p w:rsidR="005770D9" w:rsidRDefault="00CF346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）推进技术创新与涉网技术标准制修订。</w:t>
      </w:r>
      <w:r>
        <w:rPr>
          <w:rFonts w:ascii="仿宋_GB2312" w:eastAsia="仿宋_GB2312" w:hAnsi="仿宋_GB2312" w:cs="仿宋_GB2312" w:hint="eastAsia"/>
          <w:sz w:val="32"/>
          <w:szCs w:val="32"/>
        </w:rPr>
        <w:t>积极开展新能源和新型并网主体涉网技术的研究验证及推广应用，提升其安全替代能力。推进新技术、新设备的并网标准制修订工作，逐步构建与新型电力系统发展相适应的涉网安全性能。</w:t>
      </w:r>
    </w:p>
    <w:p w:rsidR="005770D9" w:rsidRDefault="00CF34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三、加强涉网参数管理</w:t>
      </w:r>
    </w:p>
    <w:p w:rsidR="005770D9" w:rsidRDefault="00CF346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六</w:t>
      </w:r>
      <w:r>
        <w:rPr>
          <w:rFonts w:ascii="楷体_GB2312" w:eastAsia="楷体_GB2312" w:hAnsi="楷体_GB2312" w:cs="楷体_GB2312" w:hint="eastAsia"/>
          <w:sz w:val="32"/>
          <w:szCs w:val="32"/>
        </w:rPr>
        <w:t>）规范涉网参数管理流程。</w:t>
      </w:r>
      <w:r>
        <w:rPr>
          <w:rFonts w:ascii="仿宋_GB2312" w:eastAsia="仿宋_GB2312" w:hAnsi="仿宋_GB2312" w:cs="仿宋_GB2312" w:hint="eastAsia"/>
          <w:sz w:val="32"/>
          <w:szCs w:val="32"/>
        </w:rPr>
        <w:t>电力调度机构要</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加强对接入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及以上电压等级的新能源和新型并网主体涉网参数的统一管理，涉网安全相关设备的控制逻辑和参数、涉网保护定值等不得擅自调整，关键技术参数的升级或改造相关方案应经充分论证并提交电力调度机</w:t>
      </w:r>
      <w:r>
        <w:rPr>
          <w:rFonts w:ascii="仿宋_GB2312" w:eastAsia="仿宋_GB2312" w:hAnsi="仿宋_GB2312" w:cs="仿宋_GB2312" w:hint="eastAsia"/>
          <w:sz w:val="32"/>
          <w:szCs w:val="32"/>
        </w:rPr>
        <w:t>构审核同意后实施。控制逻辑或参数发生变化后，应在规定时间内开展涉网性能复核测试，确保满足涉网性能要求。</w:t>
      </w:r>
    </w:p>
    <w:p w:rsidR="005770D9" w:rsidRDefault="00CF346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七</w:t>
      </w:r>
      <w:r>
        <w:rPr>
          <w:rFonts w:ascii="楷体_GB2312" w:eastAsia="楷体_GB2312" w:hAnsi="楷体_GB2312" w:cs="楷体_GB2312" w:hint="eastAsia"/>
          <w:sz w:val="32"/>
          <w:szCs w:val="32"/>
        </w:rPr>
        <w:t>）强化建模及参数实测管理。</w:t>
      </w:r>
      <w:r>
        <w:rPr>
          <w:rFonts w:ascii="仿宋_GB2312" w:eastAsia="仿宋_GB2312" w:hAnsi="仿宋_GB2312" w:cs="仿宋_GB2312" w:hint="eastAsia"/>
          <w:sz w:val="32"/>
          <w:szCs w:val="32"/>
        </w:rPr>
        <w:t>电力调度机构要基于新能源和新型并网主体实测建模，对高比例电力电子设备接入电网开展电磁暂态仿真或机电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电磁混合仿真校核。接入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及以上电压等级的新能源和新型并网主体要根据电力系统稳定计算分析要求，开展电磁暂态和机电暂态建模及参数实测，并网前并网主体应向电力调度机构提供并网发电设</w:t>
      </w:r>
      <w:r>
        <w:rPr>
          <w:rFonts w:ascii="仿宋_GB2312" w:eastAsia="仿宋_GB2312" w:hAnsi="仿宋_GB2312" w:cs="仿宋_GB2312" w:hint="eastAsia"/>
          <w:sz w:val="32"/>
          <w:szCs w:val="32"/>
        </w:rPr>
        <w:lastRenderedPageBreak/>
        <w:t>备相应型号的电磁暂态和机电暂态模型。其他新能源和新型并网主体可由设备厂家代为提供。</w:t>
      </w:r>
    </w:p>
    <w:p w:rsidR="005770D9" w:rsidRDefault="00CF346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八</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落实涉网参数复测要求。</w:t>
      </w:r>
      <w:r>
        <w:rPr>
          <w:rFonts w:ascii="仿宋_GB2312" w:eastAsia="仿宋_GB2312" w:hAnsi="仿宋_GB2312" w:cs="仿宋_GB2312" w:hint="eastAsia"/>
          <w:sz w:val="32"/>
          <w:szCs w:val="32"/>
        </w:rPr>
        <w:t>电力调度机构要完善接入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及以上电压等级的新能源和新型并网主体涉网参数全周期、精细化管理机制，确保电力系统稳定计算分析结论科学准确。接入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及以上电压等级的新能源场站和新型并网主体</w:t>
      </w:r>
      <w:r>
        <w:rPr>
          <w:rFonts w:ascii="仿宋_GB2312" w:eastAsia="仿宋_GB2312" w:hAnsi="仿宋_GB2312" w:cs="仿宋_GB2312" w:hint="eastAsia"/>
          <w:sz w:val="32"/>
          <w:szCs w:val="32"/>
        </w:rPr>
        <w:t>AGC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AVC</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SVG</w:t>
      </w:r>
      <w:r>
        <w:rPr>
          <w:rFonts w:ascii="仿宋_GB2312" w:eastAsia="仿宋_GB2312" w:hAnsi="仿宋_GB2312" w:cs="仿宋_GB2312" w:hint="eastAsia"/>
          <w:sz w:val="32"/>
          <w:szCs w:val="32"/>
        </w:rPr>
        <w:t>、一次调频等涉网参数应定期开展复测，复测周期不应超过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年，检测应由具备</w:t>
      </w:r>
      <w:r>
        <w:rPr>
          <w:rFonts w:ascii="仿宋_GB2312" w:eastAsia="仿宋_GB2312" w:hAnsi="仿宋_GB2312" w:cs="仿宋_GB2312" w:hint="eastAsia"/>
          <w:sz w:val="32"/>
          <w:szCs w:val="32"/>
        </w:rPr>
        <w:t>CNAS/CMA</w:t>
      </w:r>
      <w:r>
        <w:rPr>
          <w:rFonts w:ascii="仿宋_GB2312" w:eastAsia="仿宋_GB2312" w:hAnsi="仿宋_GB2312" w:cs="仿宋_GB2312" w:hint="eastAsia"/>
          <w:sz w:val="32"/>
          <w:szCs w:val="32"/>
        </w:rPr>
        <w:t>资质或同等资质能力的第三方机构开展，试验方案、试验结果和试验报告应经电力调度机构审核确认。</w:t>
      </w:r>
    </w:p>
    <w:p w:rsidR="005770D9" w:rsidRDefault="00CF34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优化并网接入服务</w:t>
      </w:r>
    </w:p>
    <w:p w:rsidR="005770D9" w:rsidRDefault="00CF346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九</w:t>
      </w:r>
      <w:r>
        <w:rPr>
          <w:rFonts w:ascii="楷体_GB2312" w:eastAsia="楷体_GB2312" w:hAnsi="楷体_GB2312" w:cs="楷体_GB2312" w:hint="eastAsia"/>
          <w:sz w:val="32"/>
          <w:szCs w:val="32"/>
        </w:rPr>
        <w:t>）加强接入电网安全风险评估。</w:t>
      </w:r>
      <w:r>
        <w:rPr>
          <w:rFonts w:ascii="仿宋_GB2312" w:eastAsia="仿宋_GB2312" w:hAnsi="仿宋_GB2312" w:cs="仿宋_GB2312" w:hint="eastAsia"/>
          <w:sz w:val="32"/>
          <w:szCs w:val="32"/>
        </w:rPr>
        <w:t>电网企业要深入研究分析分布式新能源接入安全风险，配合做好分布式新能源接入电网承载力评估工作，引导分布式新能源科学布局、安全接入、高效消纳。地方电力管理部门在开展分布式新能源接入电网承载力评估工作时，应充分考虑分布式新能源接入对电网安全运行的影响。</w:t>
      </w:r>
    </w:p>
    <w:p w:rsidR="005770D9" w:rsidRDefault="00CF346C">
      <w:pPr>
        <w:overflowPunct w:val="0"/>
        <w:spacing w:line="560" w:lineRule="exact"/>
        <w:ind w:firstLineChars="200" w:firstLine="640"/>
        <w:rPr>
          <w:rFonts w:ascii="仿宋_GB2312" w:eastAsia="仿宋_GB2312" w:hAnsi="仿宋_GB2312" w:cs="仿宋_GB2312"/>
          <w:sz w:val="32"/>
          <w:szCs w:val="32"/>
          <w:highlight w:val="yellow"/>
        </w:rPr>
      </w:pPr>
      <w:r>
        <w:rPr>
          <w:rFonts w:ascii="楷体_GB2312" w:eastAsia="楷体_GB2312" w:hAnsi="楷体_GB2312" w:cs="楷体_GB2312" w:hint="eastAsia"/>
          <w:sz w:val="32"/>
          <w:szCs w:val="32"/>
        </w:rPr>
        <w:t>（十）强化并网接入过程管控。</w:t>
      </w:r>
      <w:r>
        <w:rPr>
          <w:rFonts w:ascii="仿宋_GB2312" w:eastAsia="仿宋_GB2312" w:hAnsi="仿宋_GB2312" w:cs="仿宋_GB2312" w:hint="eastAsia"/>
          <w:sz w:val="32"/>
          <w:szCs w:val="32"/>
        </w:rPr>
        <w:t>新能源和新型并网主体</w:t>
      </w:r>
      <w:r>
        <w:rPr>
          <w:rFonts w:ascii="仿宋_GB2312" w:eastAsia="仿宋_GB2312" w:hAnsi="仿宋_GB2312" w:cs="仿宋_GB2312" w:hint="eastAsia"/>
          <w:sz w:val="32"/>
          <w:szCs w:val="32"/>
        </w:rPr>
        <w:t>应组织开展并网验收工作，确保一、二次设备及各类系统满足并网要求。电网企业及其电力调度机构应做好新能源和新型并网主体涉网设备的配置、参数、性能、调控能力等并网条件确认工作，条件不满足的不得并网。并网后，</w:t>
      </w:r>
      <w:r>
        <w:rPr>
          <w:rFonts w:ascii="仿宋_GB2312" w:eastAsia="仿宋_GB2312" w:hAnsi="仿宋_GB2312" w:cs="仿宋_GB2312" w:hint="eastAsia"/>
          <w:sz w:val="32"/>
          <w:szCs w:val="32"/>
        </w:rPr>
        <w:t>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及以</w:t>
      </w:r>
      <w:r>
        <w:rPr>
          <w:rFonts w:ascii="仿宋_GB2312" w:eastAsia="仿宋_GB2312" w:hAnsi="仿宋_GB2312" w:cs="仿宋_GB2312" w:hint="eastAsia"/>
          <w:sz w:val="32"/>
          <w:szCs w:val="32"/>
        </w:rPr>
        <w:t>上电压等级的新能源和新型并网主体</w:t>
      </w:r>
      <w:r>
        <w:rPr>
          <w:rFonts w:ascii="仿宋_GB2312" w:eastAsia="仿宋_GB2312" w:hAnsi="仿宋_GB2312" w:cs="仿宋_GB2312" w:hint="eastAsia"/>
          <w:sz w:val="32"/>
          <w:szCs w:val="32"/>
        </w:rPr>
        <w:t>应完成全部涉网试验，在规定时间内将合格的试验结果提交电力调度机构。</w:t>
      </w:r>
    </w:p>
    <w:p w:rsidR="005770D9" w:rsidRDefault="00CF346C">
      <w:pPr>
        <w:spacing w:line="560" w:lineRule="exact"/>
        <w:ind w:firstLineChars="200" w:firstLine="640"/>
        <w:rPr>
          <w:rFonts w:ascii="仿宋_GB2312" w:eastAsia="仿宋_GB2312" w:hAnsi="仿宋_GB2312" w:cs="仿宋_GB2312"/>
          <w:sz w:val="32"/>
          <w:szCs w:val="32"/>
          <w:highlight w:val="yellow"/>
        </w:rPr>
      </w:pPr>
      <w:r>
        <w:rPr>
          <w:rFonts w:ascii="黑体" w:eastAsia="黑体" w:hAnsi="黑体" w:cs="黑体" w:hint="eastAsia"/>
          <w:sz w:val="32"/>
          <w:szCs w:val="32"/>
        </w:rPr>
        <w:lastRenderedPageBreak/>
        <w:t>五、强化并网运行管理</w:t>
      </w:r>
    </w:p>
    <w:p w:rsidR="005770D9" w:rsidRDefault="00CF346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）加强调控能力和信息采集能力建设。</w:t>
      </w:r>
      <w:r>
        <w:rPr>
          <w:rFonts w:ascii="仿宋_GB2312" w:eastAsia="仿宋_GB2312" w:hAnsi="仿宋_GB2312" w:cs="仿宋_GB2312" w:hint="eastAsia"/>
          <w:sz w:val="32"/>
          <w:szCs w:val="32"/>
        </w:rPr>
        <w:t>电网企业要发挥牵头组织作用，与新能源和新型并网主体加强工作协同，推动并网主体具备接收和执行电力调度机构控制和调节指令的能力，满足电网运行“可调可控”要求。并网主体应按照电网运行“可观可测”要求，实时上传主要设备运行信息，包括但不限于有功功率、无功功率、电压、电流等遥测量和主要设备位置、重要保护信号等遥信量，以及并网调度协议要求的其他信息。信息上传应</w:t>
      </w:r>
      <w:r>
        <w:rPr>
          <w:rFonts w:ascii="仿宋_GB2312" w:eastAsia="仿宋_GB2312" w:hAnsi="仿宋_GB2312" w:cs="仿宋_GB2312" w:hint="eastAsia"/>
          <w:sz w:val="32"/>
          <w:szCs w:val="32"/>
        </w:rPr>
        <w:t>满足分钟级采集要求，相关运行信息和调度控制功能应接入调度系统，通信方式、通信协议应满足电力调度机构要求。</w:t>
      </w:r>
    </w:p>
    <w:p w:rsidR="005770D9" w:rsidRDefault="00CF346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对于存量新能源和新型并网主体，江苏省电力公司、电力调度机构</w:t>
      </w:r>
      <w:r>
        <w:rPr>
          <w:rFonts w:ascii="仿宋_GB2312" w:eastAsia="仿宋_GB2312" w:hAnsi="仿宋_GB2312" w:cs="仿宋_GB2312"/>
          <w:sz w:val="32"/>
          <w:szCs w:val="32"/>
        </w:rPr>
        <w:t>应全面梳理现状，制定具体</w:t>
      </w:r>
      <w:r>
        <w:rPr>
          <w:rFonts w:ascii="仿宋_GB2312" w:eastAsia="仿宋_GB2312" w:hAnsi="仿宋_GB2312" w:cs="仿宋_GB2312"/>
          <w:sz w:val="32"/>
          <w:szCs w:val="32"/>
        </w:rPr>
        <w:t>“</w:t>
      </w:r>
      <w:r>
        <w:rPr>
          <w:rFonts w:ascii="仿宋_GB2312" w:eastAsia="仿宋_GB2312" w:hAnsi="仿宋_GB2312" w:cs="仿宋_GB2312"/>
          <w:sz w:val="32"/>
          <w:szCs w:val="32"/>
        </w:rPr>
        <w:t>四可</w:t>
      </w:r>
      <w:r>
        <w:rPr>
          <w:rFonts w:ascii="仿宋_GB2312" w:eastAsia="仿宋_GB2312" w:hAnsi="仿宋_GB2312" w:cs="仿宋_GB2312"/>
          <w:sz w:val="32"/>
          <w:szCs w:val="32"/>
        </w:rPr>
        <w:t>”</w:t>
      </w:r>
      <w:r>
        <w:rPr>
          <w:rFonts w:ascii="仿宋_GB2312" w:eastAsia="仿宋_GB2312" w:hAnsi="仿宋_GB2312" w:cs="仿宋_GB2312"/>
          <w:sz w:val="32"/>
          <w:szCs w:val="32"/>
        </w:rPr>
        <w:t>能力改造方案，并向</w:t>
      </w:r>
      <w:r>
        <w:rPr>
          <w:rFonts w:ascii="仿宋_GB2312" w:eastAsia="仿宋_GB2312" w:hAnsi="仿宋_GB2312" w:cs="仿宋_GB2312" w:hint="eastAsia"/>
          <w:sz w:val="32"/>
          <w:szCs w:val="32"/>
        </w:rPr>
        <w:t>江苏</w:t>
      </w:r>
      <w:r>
        <w:rPr>
          <w:rFonts w:ascii="仿宋_GB2312" w:eastAsia="仿宋_GB2312" w:hAnsi="仿宋_GB2312" w:cs="仿宋_GB2312"/>
          <w:sz w:val="32"/>
          <w:szCs w:val="32"/>
        </w:rPr>
        <w:t>能源监管办报备。</w:t>
      </w:r>
      <w:r>
        <w:rPr>
          <w:rFonts w:ascii="仿宋_GB2312" w:eastAsia="仿宋_GB2312" w:hAnsi="仿宋_GB2312" w:cs="仿宋_GB2312" w:hint="eastAsia"/>
          <w:sz w:val="32"/>
          <w:szCs w:val="32"/>
        </w:rPr>
        <w:t>其中，接入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及以上电压等级的新能源和新型并网主体</w:t>
      </w:r>
      <w:r>
        <w:rPr>
          <w:rFonts w:ascii="仿宋_GB2312" w:eastAsia="仿宋_GB2312" w:hAnsi="仿宋_GB2312" w:cs="仿宋_GB2312" w:hint="eastAsia"/>
          <w:sz w:val="32"/>
          <w:szCs w:val="32"/>
        </w:rPr>
        <w:t>应于</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月底前完成“四可”能力改造；接入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以下电压等级的</w:t>
      </w:r>
      <w:r>
        <w:rPr>
          <w:rFonts w:ascii="仿宋_GB2312" w:eastAsia="仿宋_GB2312" w:hAnsi="仿宋_GB2312" w:cs="仿宋_GB2312" w:hint="eastAsia"/>
          <w:sz w:val="32"/>
          <w:szCs w:val="32"/>
        </w:rPr>
        <w:t>一般工商业分布式光伏原则上</w:t>
      </w:r>
      <w:r>
        <w:rPr>
          <w:rFonts w:ascii="仿宋_GB2312" w:eastAsia="仿宋_GB2312" w:hAnsi="仿宋_GB2312" w:cs="仿宋_GB2312" w:hint="eastAsia"/>
          <w:sz w:val="32"/>
          <w:szCs w:val="32"/>
        </w:rPr>
        <w:t>应于</w:t>
      </w:r>
      <w:r>
        <w:rPr>
          <w:rFonts w:ascii="仿宋_GB2312" w:eastAsia="仿宋_GB2312" w:hAnsi="仿宋_GB2312" w:cs="仿宋_GB2312" w:hint="eastAsia"/>
          <w:sz w:val="32"/>
          <w:szCs w:val="32"/>
        </w:rPr>
        <w:t>2027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月底前完成“四可”能力改造；其他新能源及新型并网主体要稳妥有序推进改造工作，全额上网的分布式光伏原则上应于</w:t>
      </w:r>
      <w:r>
        <w:rPr>
          <w:rFonts w:ascii="仿宋_GB2312" w:eastAsia="仿宋_GB2312" w:hAnsi="仿宋_GB2312" w:cs="仿宋_GB2312" w:hint="eastAsia"/>
          <w:sz w:val="32"/>
          <w:szCs w:val="32"/>
        </w:rPr>
        <w:t>2030</w:t>
      </w:r>
      <w:r>
        <w:rPr>
          <w:rFonts w:ascii="仿宋_GB2312" w:eastAsia="仿宋_GB2312" w:hAnsi="仿宋_GB2312" w:cs="仿宋_GB2312" w:hint="eastAsia"/>
          <w:sz w:val="32"/>
          <w:szCs w:val="32"/>
        </w:rPr>
        <w:t>年底前完成“四可”能力改造。</w:t>
      </w:r>
    </w:p>
    <w:p w:rsidR="005770D9" w:rsidRDefault="00CF346C">
      <w:pPr>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hint="eastAsia"/>
          <w:sz w:val="32"/>
          <w:szCs w:val="32"/>
        </w:rPr>
        <w:t>（十</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）强化网络安全管理。</w:t>
      </w:r>
      <w:r>
        <w:rPr>
          <w:rFonts w:ascii="仿宋_GB2312" w:eastAsia="仿宋_GB2312" w:hAnsi="仿宋_GB2312" w:cs="仿宋_GB2312"/>
          <w:sz w:val="32"/>
          <w:szCs w:val="32"/>
        </w:rPr>
        <w:t>新能源和新型并网主体要严格执行网络安全相关法律法规、国家标准及行业标准要求，优化电力监控系统网络安全防护体系，强化供应链安全管控，禁止擅自设置或预留任何外部控制接口。采用云平台等互联</w:t>
      </w:r>
      <w:r>
        <w:rPr>
          <w:rFonts w:ascii="仿宋_GB2312" w:eastAsia="仿宋_GB2312" w:hAnsi="仿宋_GB2312" w:cs="仿宋_GB2312"/>
          <w:sz w:val="32"/>
          <w:szCs w:val="32"/>
        </w:rPr>
        <w:lastRenderedPageBreak/>
        <w:t>网技术进行监测的新能源和新型并网主体，应当按照法规、标准，安装网络安全监测、隔离装置等网络安全设施，并向相应调度机构备案。虚拟电厂的技术支撑系统</w:t>
      </w:r>
      <w:r>
        <w:rPr>
          <w:rFonts w:ascii="仿宋_GB2312" w:eastAsia="仿宋_GB2312" w:hAnsi="仿宋_GB2312" w:cs="仿宋_GB2312"/>
          <w:sz w:val="32"/>
          <w:szCs w:val="32"/>
        </w:rPr>
        <w:t>（或平台）的涉控功能的网络安全防护应当严格落实《电力监控系统安全防护规定》（国家发展改革委令第</w:t>
      </w:r>
      <w:r>
        <w:rPr>
          <w:rFonts w:ascii="仿宋_GB2312" w:eastAsia="仿宋_GB2312" w:hAnsi="仿宋_GB2312" w:cs="仿宋_GB2312"/>
          <w:sz w:val="32"/>
          <w:szCs w:val="32"/>
        </w:rPr>
        <w:t>27</w:t>
      </w:r>
      <w:r>
        <w:rPr>
          <w:rFonts w:ascii="仿宋_GB2312" w:eastAsia="仿宋_GB2312" w:hAnsi="仿宋_GB2312" w:cs="仿宋_GB2312"/>
          <w:sz w:val="32"/>
          <w:szCs w:val="32"/>
        </w:rPr>
        <w:t>号）要求。</w:t>
      </w:r>
      <w:r>
        <w:rPr>
          <w:rFonts w:ascii="仿宋_GB2312" w:eastAsia="仿宋_GB2312" w:hAnsi="仿宋_GB2312" w:cs="仿宋_GB2312" w:hint="eastAsia"/>
          <w:sz w:val="32"/>
          <w:szCs w:val="32"/>
        </w:rPr>
        <w:t>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及以上电压等级的新能源和新型并网主体</w:t>
      </w:r>
      <w:r>
        <w:rPr>
          <w:rFonts w:ascii="仿宋_GB2312" w:eastAsia="仿宋_GB2312" w:hAnsi="仿宋_GB2312" w:cs="仿宋_GB2312"/>
          <w:sz w:val="32"/>
          <w:szCs w:val="32"/>
        </w:rPr>
        <w:t>要按照有关规定，开展电力行业网络安全等级保护定级审核备案及等保测评工作，相关问题隐患要及时闭环整改，切实提升网络安全管理水平。</w:t>
      </w:r>
    </w:p>
    <w:p w:rsidR="005770D9" w:rsidRDefault="00CF346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）强化通信运行管理。</w:t>
      </w:r>
      <w:r>
        <w:rPr>
          <w:rFonts w:ascii="仿宋_GB2312" w:eastAsia="仿宋_GB2312" w:hAnsi="仿宋_GB2312" w:cs="仿宋_GB2312"/>
          <w:sz w:val="32"/>
          <w:szCs w:val="32"/>
        </w:rPr>
        <w:t>接入电力通信网的新能源和新型并网主体通信设备的运行条件应符合电力通信网运行要求，并由专人维护，通信设备应纳入电力通信网管系统统一管理，并严格执行通信调度运行检修管理要求。上送至电力调度机构的信息应完整、</w:t>
      </w:r>
      <w:r>
        <w:rPr>
          <w:rFonts w:ascii="仿宋_GB2312" w:eastAsia="仿宋_GB2312" w:hAnsi="仿宋_GB2312" w:cs="仿宋_GB2312"/>
          <w:sz w:val="32"/>
          <w:szCs w:val="32"/>
        </w:rPr>
        <w:t>齐全、准确，通讯链路应可靠稳定。</w:t>
      </w:r>
    </w:p>
    <w:p w:rsidR="005770D9" w:rsidRDefault="00CF346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营造安全发展环境</w:t>
      </w:r>
    </w:p>
    <w:p w:rsidR="005770D9" w:rsidRDefault="00CF346C">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w:t>
      </w: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加强</w:t>
      </w:r>
      <w:r>
        <w:rPr>
          <w:rFonts w:ascii="楷体_GB2312" w:eastAsia="楷体_GB2312" w:hAnsi="楷体_GB2312" w:cs="楷体_GB2312" w:hint="eastAsia"/>
          <w:sz w:val="32"/>
          <w:szCs w:val="32"/>
        </w:rPr>
        <w:t>监督管理。</w:t>
      </w:r>
      <w:r>
        <w:rPr>
          <w:rFonts w:ascii="仿宋_GB2312" w:eastAsia="仿宋_GB2312" w:hAnsi="仿宋_GB2312" w:cs="仿宋_GB2312" w:hint="eastAsia"/>
          <w:sz w:val="32"/>
          <w:szCs w:val="32"/>
        </w:rPr>
        <w:t>电力调度机构应加强新能源和新型并网主体涉网安全管理，对于为规避电力调度机构调控而采取破坏通信设备设施等的行为，要严肃调度纪律并按照相关规定进行考核，必要时按照规定履行电网解列程序，并将情况报告江苏能源监管办。江苏省电力调控中心应每月将接入</w:t>
      </w:r>
      <w:r>
        <w:rPr>
          <w:rFonts w:ascii="仿宋_GB2312" w:eastAsia="仿宋_GB2312" w:hAnsi="仿宋_GB2312" w:cs="仿宋_GB2312" w:hint="eastAsia"/>
          <w:sz w:val="32"/>
          <w:szCs w:val="32"/>
        </w:rPr>
        <w:t>10kV</w:t>
      </w:r>
      <w:r>
        <w:rPr>
          <w:rFonts w:ascii="仿宋_GB2312" w:eastAsia="仿宋_GB2312" w:hAnsi="仿宋_GB2312" w:cs="仿宋_GB2312" w:hint="eastAsia"/>
          <w:sz w:val="32"/>
          <w:szCs w:val="32"/>
        </w:rPr>
        <w:t>及以上电压等级的新能源和新型并网主体涉网性能形式试验报告及参数复测审核情况汇总报送至江苏能源监管办。江苏能源监管办将对电网企业、电力调度机构、部</w:t>
      </w:r>
      <w:r>
        <w:rPr>
          <w:rFonts w:ascii="仿宋_GB2312" w:eastAsia="仿宋_GB2312" w:hAnsi="仿宋_GB2312" w:cs="仿宋_GB2312" w:hint="eastAsia"/>
          <w:sz w:val="32"/>
          <w:szCs w:val="32"/>
        </w:rPr>
        <w:lastRenderedPageBreak/>
        <w:t>分新能源和新型并网主体开展监督检查，如发现存在违法违规情况，将对有关单位进行严肃处理。</w:t>
      </w:r>
    </w:p>
    <w:p w:rsidR="005770D9" w:rsidRDefault="00CF346C">
      <w:pPr>
        <w:spacing w:line="560" w:lineRule="exact"/>
        <w:ind w:firstLineChars="200" w:firstLine="640"/>
        <w:rPr>
          <w:rFonts w:ascii="Times New Roman" w:eastAsia="仿宋_GB2312" w:hAnsi="Times New Roman" w:cs="Times New Roman"/>
          <w:sz w:val="32"/>
          <w:szCs w:val="32"/>
        </w:rPr>
        <w:sectPr w:rsidR="005770D9">
          <w:footerReference w:type="default" r:id="rId7"/>
          <w:pgSz w:w="11906" w:h="16838"/>
          <w:pgMar w:top="1440" w:right="1800" w:bottom="1440" w:left="1800" w:header="851" w:footer="992" w:gutter="0"/>
          <w:cols w:space="425"/>
          <w:docGrid w:type="lines" w:linePitch="312"/>
        </w:sectPr>
      </w:pPr>
      <w:r>
        <w:rPr>
          <w:rFonts w:ascii="楷体_GB2312" w:eastAsia="楷体_GB2312" w:hAnsi="楷体_GB2312" w:cs="楷体_GB2312" w:hint="eastAsia"/>
          <w:sz w:val="32"/>
          <w:szCs w:val="32"/>
        </w:rPr>
        <w:t>（十</w:t>
      </w:r>
      <w:r>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）加强宣传引导工作。</w:t>
      </w:r>
      <w:r>
        <w:rPr>
          <w:rFonts w:ascii="Times New Roman" w:eastAsia="仿宋_GB2312" w:hAnsi="Times New Roman" w:cs="Times New Roman" w:hint="eastAsia"/>
          <w:sz w:val="32"/>
          <w:szCs w:val="32"/>
        </w:rPr>
        <w:t>加强政策文件宣传和解读，强化安全共治意识，凝聚安全发展共识，营造有利于并网主体发展的安全环境。积极宣传正面典型，及时总结推广各地在实践中探索的先进经验和有效做法。</w:t>
      </w:r>
    </w:p>
    <w:p w:rsidR="005770D9" w:rsidRDefault="00CF346C">
      <w:pPr>
        <w:pageBreakBefore/>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5770D9" w:rsidRDefault="005770D9"/>
    <w:p w:rsidR="005770D9" w:rsidRDefault="005770D9"/>
    <w:p w:rsidR="005770D9" w:rsidRDefault="00CF346C">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意见</w:t>
      </w:r>
      <w:r>
        <w:rPr>
          <w:rFonts w:ascii="方正小标宋简体" w:eastAsia="方正小标宋简体" w:hAnsi="方正小标宋简体" w:cs="方正小标宋简体" w:hint="eastAsia"/>
          <w:sz w:val="44"/>
          <w:szCs w:val="52"/>
        </w:rPr>
        <w:t>反馈</w:t>
      </w:r>
      <w:r>
        <w:rPr>
          <w:rFonts w:ascii="方正小标宋简体" w:eastAsia="方正小标宋简体" w:hAnsi="方正小标宋简体" w:cs="方正小标宋简体" w:hint="eastAsia"/>
          <w:sz w:val="44"/>
          <w:szCs w:val="52"/>
        </w:rPr>
        <w:t>表</w:t>
      </w:r>
    </w:p>
    <w:tbl>
      <w:tblPr>
        <w:tblStyle w:val="a5"/>
        <w:tblW w:w="11302" w:type="dxa"/>
        <w:jc w:val="center"/>
        <w:tblLook w:val="04A0"/>
      </w:tblPr>
      <w:tblGrid>
        <w:gridCol w:w="728"/>
        <w:gridCol w:w="2260"/>
        <w:gridCol w:w="2740"/>
        <w:gridCol w:w="2600"/>
        <w:gridCol w:w="1160"/>
        <w:gridCol w:w="1814"/>
      </w:tblGrid>
      <w:tr w:rsidR="005770D9">
        <w:trPr>
          <w:trHeight w:val="822"/>
          <w:jc w:val="center"/>
        </w:trPr>
        <w:tc>
          <w:tcPr>
            <w:tcW w:w="728" w:type="dxa"/>
            <w:vAlign w:val="center"/>
          </w:tcPr>
          <w:p w:rsidR="005770D9" w:rsidRDefault="00CF346C">
            <w:pPr>
              <w:adjustRightInd w:val="0"/>
              <w:snapToGrid w:val="0"/>
              <w:jc w:val="center"/>
              <w:rPr>
                <w:rFonts w:ascii="黑体" w:eastAsia="黑体" w:hAnsi="黑体" w:cs="黑体"/>
                <w:sz w:val="28"/>
                <w:szCs w:val="36"/>
              </w:rPr>
            </w:pPr>
            <w:r>
              <w:rPr>
                <w:rFonts w:ascii="黑体" w:eastAsia="黑体" w:hAnsi="黑体" w:cs="黑体" w:hint="eastAsia"/>
                <w:sz w:val="28"/>
                <w:szCs w:val="36"/>
              </w:rPr>
              <w:t>序号</w:t>
            </w:r>
          </w:p>
        </w:tc>
        <w:tc>
          <w:tcPr>
            <w:tcW w:w="2260" w:type="dxa"/>
            <w:vAlign w:val="center"/>
          </w:tcPr>
          <w:p w:rsidR="005770D9" w:rsidRDefault="00CF346C">
            <w:pPr>
              <w:adjustRightInd w:val="0"/>
              <w:snapToGrid w:val="0"/>
              <w:jc w:val="center"/>
              <w:rPr>
                <w:rFonts w:ascii="黑体" w:eastAsia="黑体" w:hAnsi="黑体" w:cs="黑体"/>
                <w:sz w:val="28"/>
                <w:szCs w:val="36"/>
              </w:rPr>
            </w:pPr>
            <w:r>
              <w:rPr>
                <w:rFonts w:ascii="黑体" w:eastAsia="黑体" w:hAnsi="黑体" w:cs="黑体" w:hint="eastAsia"/>
                <w:sz w:val="28"/>
                <w:szCs w:val="36"/>
              </w:rPr>
              <w:t>原文内容</w:t>
            </w:r>
          </w:p>
        </w:tc>
        <w:tc>
          <w:tcPr>
            <w:tcW w:w="2740" w:type="dxa"/>
            <w:vAlign w:val="center"/>
          </w:tcPr>
          <w:p w:rsidR="005770D9" w:rsidRDefault="00CF346C">
            <w:pPr>
              <w:adjustRightInd w:val="0"/>
              <w:snapToGrid w:val="0"/>
              <w:jc w:val="center"/>
              <w:rPr>
                <w:rFonts w:ascii="黑体" w:eastAsia="黑体" w:hAnsi="黑体" w:cs="黑体"/>
                <w:sz w:val="28"/>
                <w:szCs w:val="36"/>
              </w:rPr>
            </w:pPr>
            <w:r>
              <w:rPr>
                <w:rFonts w:ascii="黑体" w:eastAsia="黑体" w:hAnsi="黑体" w:cs="黑体" w:hint="eastAsia"/>
                <w:sz w:val="28"/>
                <w:szCs w:val="36"/>
              </w:rPr>
              <w:t>修订后内容</w:t>
            </w:r>
          </w:p>
          <w:p w:rsidR="005770D9" w:rsidRDefault="00CF346C">
            <w:pPr>
              <w:adjustRightInd w:val="0"/>
              <w:snapToGrid w:val="0"/>
              <w:jc w:val="center"/>
              <w:rPr>
                <w:rFonts w:ascii="黑体" w:eastAsia="黑体" w:hAnsi="黑体" w:cs="黑体"/>
                <w:sz w:val="28"/>
                <w:szCs w:val="36"/>
              </w:rPr>
            </w:pPr>
            <w:r>
              <w:rPr>
                <w:rFonts w:ascii="黑体" w:eastAsia="黑体" w:hAnsi="黑体" w:cs="黑体" w:hint="eastAsia"/>
                <w:sz w:val="28"/>
                <w:szCs w:val="36"/>
              </w:rPr>
              <w:t>（修改处加粗显示）</w:t>
            </w:r>
          </w:p>
        </w:tc>
        <w:tc>
          <w:tcPr>
            <w:tcW w:w="2600" w:type="dxa"/>
            <w:vAlign w:val="center"/>
          </w:tcPr>
          <w:p w:rsidR="005770D9" w:rsidRDefault="00CF346C">
            <w:pPr>
              <w:adjustRightInd w:val="0"/>
              <w:snapToGrid w:val="0"/>
              <w:jc w:val="center"/>
              <w:rPr>
                <w:rFonts w:ascii="黑体" w:eastAsia="黑体" w:hAnsi="黑体" w:cs="黑体"/>
                <w:sz w:val="28"/>
                <w:szCs w:val="36"/>
              </w:rPr>
            </w:pPr>
            <w:r>
              <w:rPr>
                <w:rFonts w:ascii="黑体" w:eastAsia="黑体" w:hAnsi="黑体" w:cs="黑体" w:hint="eastAsia"/>
                <w:sz w:val="28"/>
                <w:szCs w:val="36"/>
              </w:rPr>
              <w:t>修订理由</w:t>
            </w:r>
          </w:p>
        </w:tc>
        <w:tc>
          <w:tcPr>
            <w:tcW w:w="1160" w:type="dxa"/>
            <w:vAlign w:val="center"/>
          </w:tcPr>
          <w:p w:rsidR="005770D9" w:rsidRDefault="00CF346C">
            <w:pPr>
              <w:adjustRightInd w:val="0"/>
              <w:snapToGrid w:val="0"/>
              <w:jc w:val="center"/>
              <w:rPr>
                <w:rFonts w:ascii="黑体" w:eastAsia="黑体" w:hAnsi="黑体" w:cs="黑体"/>
                <w:sz w:val="28"/>
                <w:szCs w:val="36"/>
              </w:rPr>
            </w:pPr>
            <w:r>
              <w:rPr>
                <w:rFonts w:ascii="黑体" w:eastAsia="黑体" w:hAnsi="黑体" w:cs="黑体" w:hint="eastAsia"/>
                <w:sz w:val="28"/>
                <w:szCs w:val="36"/>
              </w:rPr>
              <w:t>单位</w:t>
            </w:r>
          </w:p>
        </w:tc>
        <w:tc>
          <w:tcPr>
            <w:tcW w:w="1814" w:type="dxa"/>
            <w:vAlign w:val="center"/>
          </w:tcPr>
          <w:p w:rsidR="005770D9" w:rsidRDefault="00CF346C">
            <w:pPr>
              <w:adjustRightInd w:val="0"/>
              <w:snapToGrid w:val="0"/>
              <w:jc w:val="center"/>
              <w:rPr>
                <w:rFonts w:ascii="黑体" w:eastAsia="黑体" w:hAnsi="黑体" w:cs="黑体"/>
                <w:sz w:val="28"/>
                <w:szCs w:val="36"/>
              </w:rPr>
            </w:pPr>
            <w:r>
              <w:rPr>
                <w:rFonts w:ascii="黑体" w:eastAsia="黑体" w:hAnsi="黑体" w:cs="黑体" w:hint="eastAsia"/>
                <w:sz w:val="28"/>
                <w:szCs w:val="36"/>
              </w:rPr>
              <w:t>联系手机号（以备沟通）</w:t>
            </w:r>
          </w:p>
        </w:tc>
      </w:tr>
      <w:tr w:rsidR="005770D9">
        <w:trPr>
          <w:trHeight w:val="1143"/>
          <w:jc w:val="center"/>
        </w:trPr>
        <w:tc>
          <w:tcPr>
            <w:tcW w:w="728" w:type="dxa"/>
            <w:vAlign w:val="center"/>
          </w:tcPr>
          <w:p w:rsidR="005770D9" w:rsidRDefault="00CF346C">
            <w:pPr>
              <w:jc w:val="center"/>
              <w:rPr>
                <w:rFonts w:eastAsia="仿宋_GB2312"/>
                <w:szCs w:val="18"/>
              </w:rPr>
            </w:pPr>
            <w:r>
              <w:rPr>
                <w:rFonts w:hint="eastAsia"/>
                <w:szCs w:val="18"/>
              </w:rPr>
              <w:t>1</w:t>
            </w:r>
          </w:p>
        </w:tc>
        <w:tc>
          <w:tcPr>
            <w:tcW w:w="2260" w:type="dxa"/>
            <w:vAlign w:val="center"/>
          </w:tcPr>
          <w:p w:rsidR="005770D9" w:rsidRDefault="005770D9">
            <w:pPr>
              <w:rPr>
                <w:szCs w:val="18"/>
              </w:rPr>
            </w:pPr>
          </w:p>
        </w:tc>
        <w:tc>
          <w:tcPr>
            <w:tcW w:w="2740" w:type="dxa"/>
            <w:vAlign w:val="center"/>
          </w:tcPr>
          <w:p w:rsidR="005770D9" w:rsidRDefault="005770D9">
            <w:pPr>
              <w:rPr>
                <w:szCs w:val="18"/>
              </w:rPr>
            </w:pPr>
          </w:p>
        </w:tc>
        <w:tc>
          <w:tcPr>
            <w:tcW w:w="2600" w:type="dxa"/>
            <w:vAlign w:val="center"/>
          </w:tcPr>
          <w:p w:rsidR="005770D9" w:rsidRDefault="005770D9">
            <w:pPr>
              <w:rPr>
                <w:szCs w:val="18"/>
              </w:rPr>
            </w:pPr>
          </w:p>
        </w:tc>
        <w:tc>
          <w:tcPr>
            <w:tcW w:w="1160" w:type="dxa"/>
            <w:vAlign w:val="center"/>
          </w:tcPr>
          <w:p w:rsidR="005770D9" w:rsidRDefault="005770D9">
            <w:pPr>
              <w:rPr>
                <w:szCs w:val="18"/>
              </w:rPr>
            </w:pPr>
          </w:p>
        </w:tc>
        <w:tc>
          <w:tcPr>
            <w:tcW w:w="1814" w:type="dxa"/>
            <w:vAlign w:val="center"/>
          </w:tcPr>
          <w:p w:rsidR="005770D9" w:rsidRDefault="005770D9">
            <w:pPr>
              <w:jc w:val="center"/>
              <w:rPr>
                <w:szCs w:val="18"/>
              </w:rPr>
            </w:pPr>
          </w:p>
        </w:tc>
      </w:tr>
      <w:tr w:rsidR="005770D9">
        <w:trPr>
          <w:trHeight w:val="1143"/>
          <w:jc w:val="center"/>
        </w:trPr>
        <w:tc>
          <w:tcPr>
            <w:tcW w:w="728" w:type="dxa"/>
            <w:vAlign w:val="center"/>
          </w:tcPr>
          <w:p w:rsidR="005770D9" w:rsidRDefault="00CF346C">
            <w:pPr>
              <w:jc w:val="center"/>
              <w:rPr>
                <w:szCs w:val="18"/>
              </w:rPr>
            </w:pPr>
            <w:r>
              <w:rPr>
                <w:rFonts w:hint="eastAsia"/>
                <w:szCs w:val="18"/>
              </w:rPr>
              <w:t>2</w:t>
            </w:r>
          </w:p>
        </w:tc>
        <w:tc>
          <w:tcPr>
            <w:tcW w:w="2260" w:type="dxa"/>
            <w:vAlign w:val="center"/>
          </w:tcPr>
          <w:p w:rsidR="005770D9" w:rsidRDefault="005770D9">
            <w:pPr>
              <w:rPr>
                <w:szCs w:val="18"/>
              </w:rPr>
            </w:pPr>
          </w:p>
        </w:tc>
        <w:tc>
          <w:tcPr>
            <w:tcW w:w="2740" w:type="dxa"/>
            <w:vAlign w:val="center"/>
          </w:tcPr>
          <w:p w:rsidR="005770D9" w:rsidRDefault="005770D9">
            <w:pPr>
              <w:rPr>
                <w:szCs w:val="18"/>
              </w:rPr>
            </w:pPr>
          </w:p>
        </w:tc>
        <w:tc>
          <w:tcPr>
            <w:tcW w:w="2600" w:type="dxa"/>
            <w:vAlign w:val="center"/>
          </w:tcPr>
          <w:p w:rsidR="005770D9" w:rsidRDefault="005770D9">
            <w:pPr>
              <w:rPr>
                <w:szCs w:val="18"/>
              </w:rPr>
            </w:pPr>
          </w:p>
        </w:tc>
        <w:tc>
          <w:tcPr>
            <w:tcW w:w="1160" w:type="dxa"/>
            <w:vAlign w:val="center"/>
          </w:tcPr>
          <w:p w:rsidR="005770D9" w:rsidRDefault="005770D9">
            <w:pPr>
              <w:rPr>
                <w:szCs w:val="18"/>
              </w:rPr>
            </w:pPr>
          </w:p>
        </w:tc>
        <w:tc>
          <w:tcPr>
            <w:tcW w:w="1814" w:type="dxa"/>
            <w:vAlign w:val="center"/>
          </w:tcPr>
          <w:p w:rsidR="005770D9" w:rsidRDefault="005770D9">
            <w:pPr>
              <w:jc w:val="center"/>
              <w:rPr>
                <w:szCs w:val="18"/>
              </w:rPr>
            </w:pPr>
          </w:p>
        </w:tc>
      </w:tr>
      <w:tr w:rsidR="005770D9">
        <w:trPr>
          <w:trHeight w:val="1143"/>
          <w:jc w:val="center"/>
        </w:trPr>
        <w:tc>
          <w:tcPr>
            <w:tcW w:w="728" w:type="dxa"/>
            <w:vAlign w:val="center"/>
          </w:tcPr>
          <w:p w:rsidR="005770D9" w:rsidRDefault="00CF346C">
            <w:pPr>
              <w:jc w:val="center"/>
              <w:rPr>
                <w:szCs w:val="18"/>
              </w:rPr>
            </w:pPr>
            <w:r>
              <w:rPr>
                <w:rFonts w:hint="eastAsia"/>
                <w:szCs w:val="18"/>
              </w:rPr>
              <w:t>...</w:t>
            </w:r>
          </w:p>
        </w:tc>
        <w:tc>
          <w:tcPr>
            <w:tcW w:w="2260" w:type="dxa"/>
            <w:vAlign w:val="center"/>
          </w:tcPr>
          <w:p w:rsidR="005770D9" w:rsidRDefault="005770D9">
            <w:pPr>
              <w:rPr>
                <w:szCs w:val="18"/>
              </w:rPr>
            </w:pPr>
          </w:p>
        </w:tc>
        <w:tc>
          <w:tcPr>
            <w:tcW w:w="2740" w:type="dxa"/>
            <w:vAlign w:val="center"/>
          </w:tcPr>
          <w:p w:rsidR="005770D9" w:rsidRDefault="005770D9">
            <w:pPr>
              <w:rPr>
                <w:szCs w:val="18"/>
              </w:rPr>
            </w:pPr>
          </w:p>
        </w:tc>
        <w:tc>
          <w:tcPr>
            <w:tcW w:w="2600" w:type="dxa"/>
            <w:vAlign w:val="center"/>
          </w:tcPr>
          <w:p w:rsidR="005770D9" w:rsidRDefault="005770D9">
            <w:pPr>
              <w:rPr>
                <w:szCs w:val="18"/>
              </w:rPr>
            </w:pPr>
          </w:p>
        </w:tc>
        <w:tc>
          <w:tcPr>
            <w:tcW w:w="1160" w:type="dxa"/>
            <w:vAlign w:val="center"/>
          </w:tcPr>
          <w:p w:rsidR="005770D9" w:rsidRDefault="005770D9">
            <w:pPr>
              <w:rPr>
                <w:szCs w:val="18"/>
              </w:rPr>
            </w:pPr>
          </w:p>
        </w:tc>
        <w:tc>
          <w:tcPr>
            <w:tcW w:w="1814" w:type="dxa"/>
            <w:vAlign w:val="center"/>
          </w:tcPr>
          <w:p w:rsidR="005770D9" w:rsidRDefault="005770D9">
            <w:pPr>
              <w:jc w:val="center"/>
              <w:rPr>
                <w:szCs w:val="18"/>
              </w:rPr>
            </w:pPr>
          </w:p>
        </w:tc>
      </w:tr>
    </w:tbl>
    <w:p w:rsidR="005770D9" w:rsidRDefault="005770D9"/>
    <w:p w:rsidR="005770D9" w:rsidRDefault="005770D9">
      <w:pPr>
        <w:spacing w:line="560" w:lineRule="exact"/>
        <w:rPr>
          <w:sz w:val="32"/>
          <w:szCs w:val="32"/>
        </w:rPr>
      </w:pPr>
    </w:p>
    <w:sectPr w:rsidR="005770D9" w:rsidSect="005770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46C" w:rsidRDefault="00CF346C" w:rsidP="005770D9">
      <w:r>
        <w:separator/>
      </w:r>
    </w:p>
  </w:endnote>
  <w:endnote w:type="continuationSeparator" w:id="1">
    <w:p w:rsidR="00CF346C" w:rsidRDefault="00CF346C" w:rsidP="00577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embedRegular r:id="rId1" w:subsetted="1" w:fontKey="{89F4C65C-0556-4B85-A331-AE0B3CEE4AF1}"/>
  </w:font>
  <w:font w:name="黑体">
    <w:altName w:val="SimHei"/>
    <w:panose1 w:val="02010609060101010101"/>
    <w:charset w:val="86"/>
    <w:family w:val="modern"/>
    <w:pitch w:val="fixed"/>
    <w:sig w:usb0="800002BF" w:usb1="38CF7CFA" w:usb2="00000016" w:usb3="00000000" w:csb0="00040001" w:csb1="00000000"/>
    <w:embedRegular r:id="rId2" w:subsetted="1" w:fontKey="{1E624342-4B02-4969-93C0-CD4B8CDE90A7}"/>
  </w:font>
  <w:font w:name="方正小标宋_GBK">
    <w:panose1 w:val="03000509000000000000"/>
    <w:charset w:val="86"/>
    <w:family w:val="script"/>
    <w:pitch w:val="fixed"/>
    <w:sig w:usb0="00000001" w:usb1="080E0000" w:usb2="00000010" w:usb3="00000000" w:csb0="00040000" w:csb1="00000000"/>
    <w:embedRegular r:id="rId3" w:subsetted="1" w:fontKey="{649E16CE-A503-4DCD-B5D8-EC6871220576}"/>
  </w:font>
  <w:font w:name="楷体_GB2312">
    <w:panose1 w:val="02010609030101010101"/>
    <w:charset w:val="86"/>
    <w:family w:val="modern"/>
    <w:pitch w:val="fixed"/>
    <w:sig w:usb0="00000001" w:usb1="080E0000" w:usb2="00000010" w:usb3="00000000" w:csb0="00040000" w:csb1="00000000"/>
    <w:embedRegular r:id="rId4" w:subsetted="1" w:fontKey="{78216436-7A27-40E1-8A23-6E946BA876F3}"/>
  </w:font>
  <w:font w:name="仿宋_GB2312">
    <w:panose1 w:val="02010609030101010101"/>
    <w:charset w:val="86"/>
    <w:family w:val="modern"/>
    <w:pitch w:val="fixed"/>
    <w:sig w:usb0="00000001" w:usb1="080E0000" w:usb2="00000010" w:usb3="00000000" w:csb0="00040000" w:csb1="00000000"/>
    <w:embedRegular r:id="rId5" w:subsetted="1" w:fontKey="{FB85ADC3-0266-400B-873D-DC53F91A1DCC}"/>
  </w:font>
  <w:font w:name="方正小标宋简体">
    <w:altName w:val="Arial Unicode MS"/>
    <w:panose1 w:val="02010601030101010101"/>
    <w:charset w:val="86"/>
    <w:family w:val="auto"/>
    <w:pitch w:val="variable"/>
    <w:sig w:usb0="00000001" w:usb1="080E0000" w:usb2="00000010" w:usb3="00000000" w:csb0="00040000" w:csb1="00000000"/>
    <w:embedRegular r:id="rId6" w:subsetted="1" w:fontKey="{F978A3B7-36FF-43E4-8850-337C3D7DD16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D9" w:rsidRDefault="005770D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770D9" w:rsidRDefault="00CF346C">
                <w:pPr>
                  <w:pStyle w:val="a3"/>
                </w:pPr>
                <w:r>
                  <w:rPr>
                    <w:rFonts w:ascii="Times New Roman" w:hAnsi="Times New Roman" w:cs="Times New Roman"/>
                    <w:sz w:val="28"/>
                    <w:szCs w:val="28"/>
                  </w:rPr>
                  <w:t xml:space="preserve">— </w:t>
                </w:r>
                <w:r w:rsidR="005770D9">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5770D9">
                  <w:rPr>
                    <w:rFonts w:ascii="Times New Roman" w:hAnsi="Times New Roman" w:cs="Times New Roman"/>
                    <w:sz w:val="28"/>
                    <w:szCs w:val="28"/>
                  </w:rPr>
                  <w:fldChar w:fldCharType="separate"/>
                </w:r>
                <w:r w:rsidR="000102C5">
                  <w:rPr>
                    <w:rFonts w:ascii="Times New Roman" w:hAnsi="Times New Roman" w:cs="Times New Roman"/>
                    <w:noProof/>
                    <w:sz w:val="28"/>
                    <w:szCs w:val="28"/>
                  </w:rPr>
                  <w:t>1</w:t>
                </w:r>
                <w:r w:rsidR="005770D9">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46C" w:rsidRDefault="00CF346C" w:rsidP="005770D9">
      <w:r>
        <w:separator/>
      </w:r>
    </w:p>
  </w:footnote>
  <w:footnote w:type="continuationSeparator" w:id="1">
    <w:p w:rsidR="00CF346C" w:rsidRDefault="00CF346C" w:rsidP="00577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TrueTypeFonts/>
  <w:saveSubset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770D9"/>
    <w:rsid w:val="000102C5"/>
    <w:rsid w:val="005770D9"/>
    <w:rsid w:val="00CF346C"/>
    <w:rsid w:val="02A76D74"/>
    <w:rsid w:val="05314F0B"/>
    <w:rsid w:val="0589019F"/>
    <w:rsid w:val="081460E6"/>
    <w:rsid w:val="0A0C78F6"/>
    <w:rsid w:val="0B5400AF"/>
    <w:rsid w:val="0CE71E24"/>
    <w:rsid w:val="0F340737"/>
    <w:rsid w:val="102375A4"/>
    <w:rsid w:val="134D5861"/>
    <w:rsid w:val="15812BCB"/>
    <w:rsid w:val="16036209"/>
    <w:rsid w:val="176B77A7"/>
    <w:rsid w:val="17D57E58"/>
    <w:rsid w:val="17E575AD"/>
    <w:rsid w:val="182C1371"/>
    <w:rsid w:val="1A0859E0"/>
    <w:rsid w:val="1A5F00D4"/>
    <w:rsid w:val="1B072C59"/>
    <w:rsid w:val="1B4F6E42"/>
    <w:rsid w:val="1CB17D58"/>
    <w:rsid w:val="1D146976"/>
    <w:rsid w:val="2048064A"/>
    <w:rsid w:val="20BF049F"/>
    <w:rsid w:val="2191265E"/>
    <w:rsid w:val="29FF338D"/>
    <w:rsid w:val="2AF26B67"/>
    <w:rsid w:val="2BD76164"/>
    <w:rsid w:val="2D502289"/>
    <w:rsid w:val="32711866"/>
    <w:rsid w:val="328E14EF"/>
    <w:rsid w:val="32AD0B53"/>
    <w:rsid w:val="37A03007"/>
    <w:rsid w:val="37C86A02"/>
    <w:rsid w:val="37D16A3D"/>
    <w:rsid w:val="3A0243F3"/>
    <w:rsid w:val="3D121DD6"/>
    <w:rsid w:val="3F2B4B8B"/>
    <w:rsid w:val="42852F78"/>
    <w:rsid w:val="42B33F65"/>
    <w:rsid w:val="440D2CDA"/>
    <w:rsid w:val="44210495"/>
    <w:rsid w:val="44E52C92"/>
    <w:rsid w:val="456751BD"/>
    <w:rsid w:val="45D60F88"/>
    <w:rsid w:val="463E4EEA"/>
    <w:rsid w:val="47D505B1"/>
    <w:rsid w:val="4DBF70B7"/>
    <w:rsid w:val="4DEE11F9"/>
    <w:rsid w:val="4F557161"/>
    <w:rsid w:val="51BA62F1"/>
    <w:rsid w:val="51FA32FA"/>
    <w:rsid w:val="530C673A"/>
    <w:rsid w:val="5341645A"/>
    <w:rsid w:val="579E45F4"/>
    <w:rsid w:val="5AF1694B"/>
    <w:rsid w:val="64756011"/>
    <w:rsid w:val="67FD33FD"/>
    <w:rsid w:val="68E81371"/>
    <w:rsid w:val="69A424CC"/>
    <w:rsid w:val="69B97508"/>
    <w:rsid w:val="6B133F4E"/>
    <w:rsid w:val="6C77456B"/>
    <w:rsid w:val="70D9722C"/>
    <w:rsid w:val="72242EE3"/>
    <w:rsid w:val="72710C91"/>
    <w:rsid w:val="75F23E97"/>
    <w:rsid w:val="77933E66"/>
    <w:rsid w:val="78656BA2"/>
    <w:rsid w:val="7A5B64AE"/>
    <w:rsid w:val="7A741D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0D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770D9"/>
    <w:pPr>
      <w:tabs>
        <w:tab w:val="center" w:pos="4153"/>
        <w:tab w:val="right" w:pos="8306"/>
      </w:tabs>
      <w:snapToGrid w:val="0"/>
      <w:jc w:val="left"/>
    </w:pPr>
    <w:rPr>
      <w:sz w:val="18"/>
    </w:rPr>
  </w:style>
  <w:style w:type="paragraph" w:styleId="a4">
    <w:name w:val="header"/>
    <w:basedOn w:val="a"/>
    <w:qFormat/>
    <w:rsid w:val="005770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5770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2025-04-30T09:06:00Z</cp:lastPrinted>
  <dcterms:created xsi:type="dcterms:W3CDTF">2023-07-08T00:31:00Z</dcterms:created>
  <dcterms:modified xsi:type="dcterms:W3CDTF">2025-04-30T10:22:00Z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D0CD2319ABF5411B801DFB1D67F554FB</vt:lpwstr>
  </property>
  <property fmtid="{D5CDD505-2E9C-101B-9397-08002B2CF9AE}" pid="4" name="KSOTemplateDocerSaveRecord">
    <vt:lpwstr>eyJoZGlkIjoiN2JkYWRlY2EwMzg3ZDUxZDgwYjE3ODM0NWE0YzE3YmUiLCJ1c2VySWQiOiI0NjI5NjU2OTMifQ==</vt:lpwstr>
  </property>
</Properties>
</file>